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E3789" w14:textId="7889831E" w:rsidR="00F97319" w:rsidRPr="003639B5" w:rsidRDefault="00F97319" w:rsidP="00F97319">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7bis</w:t>
      </w:r>
      <w:r>
        <w:tab/>
      </w:r>
      <w:r w:rsidRPr="007C2438">
        <w:rPr>
          <w:rFonts w:cs="Arial"/>
          <w:b/>
          <w:bCs/>
          <w:noProof/>
          <w:sz w:val="28"/>
          <w:szCs w:val="28"/>
        </w:rPr>
        <w:t>R3-25</w:t>
      </w:r>
      <w:r w:rsidR="00200287">
        <w:rPr>
          <w:rFonts w:cs="Arial"/>
          <w:b/>
          <w:bCs/>
          <w:noProof/>
          <w:sz w:val="28"/>
          <w:szCs w:val="28"/>
        </w:rPr>
        <w:t>1588</w:t>
      </w:r>
    </w:p>
    <w:p w14:paraId="5B22D9A1" w14:textId="77777777" w:rsidR="00F97319" w:rsidRDefault="00F97319" w:rsidP="00F97319">
      <w:pPr>
        <w:tabs>
          <w:tab w:val="left" w:pos="1985"/>
        </w:tabs>
        <w:spacing w:line="276" w:lineRule="auto"/>
        <w:jc w:val="both"/>
        <w:rPr>
          <w:rFonts w:ascii="Arial" w:hAnsi="Arial"/>
          <w:b/>
          <w:bCs/>
          <w:noProof/>
          <w:sz w:val="24"/>
          <w:szCs w:val="24"/>
        </w:rPr>
      </w:pPr>
      <w:r>
        <w:rPr>
          <w:rFonts w:ascii="Arial" w:hAnsi="Arial"/>
          <w:b/>
          <w:bCs/>
          <w:noProof/>
          <w:sz w:val="24"/>
          <w:szCs w:val="24"/>
        </w:rPr>
        <w:t>Wuhan</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Apr 7</w:t>
      </w:r>
      <w:r w:rsidRPr="00BC0966">
        <w:rPr>
          <w:rFonts w:ascii="Arial" w:hAnsi="Arial"/>
          <w:b/>
          <w:bCs/>
          <w:noProof/>
          <w:sz w:val="24"/>
          <w:szCs w:val="24"/>
          <w:vertAlign w:val="superscript"/>
        </w:rPr>
        <w:t>th</w:t>
      </w:r>
      <w:r>
        <w:rPr>
          <w:rFonts w:ascii="Arial" w:hAnsi="Arial"/>
          <w:b/>
          <w:bCs/>
          <w:noProof/>
          <w:sz w:val="24"/>
          <w:szCs w:val="24"/>
        </w:rPr>
        <w:t xml:space="preserve"> – 11</w:t>
      </w:r>
      <w:r w:rsidRPr="00EE1696">
        <w:rPr>
          <w:rFonts w:ascii="Arial" w:hAnsi="Arial"/>
          <w:b/>
          <w:bCs/>
          <w:noProof/>
          <w:sz w:val="24"/>
          <w:szCs w:val="24"/>
          <w:vertAlign w:val="superscript"/>
        </w:rPr>
        <w:t>th</w:t>
      </w:r>
      <w:r w:rsidRPr="00881346">
        <w:rPr>
          <w:rFonts w:ascii="Arial" w:hAnsi="Arial"/>
          <w:b/>
          <w:bCs/>
          <w:noProof/>
          <w:sz w:val="24"/>
          <w:szCs w:val="24"/>
        </w:rPr>
        <w:t>, 202</w:t>
      </w:r>
      <w:r>
        <w:rPr>
          <w:rFonts w:ascii="Arial" w:hAnsi="Arial"/>
          <w:b/>
          <w:bCs/>
          <w:noProof/>
          <w:sz w:val="24"/>
          <w:szCs w:val="24"/>
        </w:rPr>
        <w:t>5</w:t>
      </w:r>
    </w:p>
    <w:p w14:paraId="3206D182" w14:textId="27EA1B37" w:rsidR="004D238B" w:rsidRPr="002F6DA8" w:rsidRDefault="004D238B" w:rsidP="00F97319">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5C74B8">
        <w:rPr>
          <w:rFonts w:ascii="Arial" w:hAnsi="Arial" w:cs="Arial"/>
          <w:sz w:val="24"/>
          <w:lang w:val="en-US"/>
        </w:rPr>
        <w:t>10.2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B5BDCE5"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14A5">
        <w:rPr>
          <w:rFonts w:ascii="Arial" w:hAnsi="Arial" w:cs="Arial"/>
          <w:sz w:val="24"/>
          <w:lang w:val="en-US"/>
        </w:rPr>
        <w:t>MRO enhancements for</w:t>
      </w:r>
      <w:r w:rsidR="002660C8">
        <w:rPr>
          <w:rFonts w:ascii="Arial" w:hAnsi="Arial" w:cs="Arial"/>
          <w:sz w:val="24"/>
          <w:lang w:val="en-US"/>
        </w:rPr>
        <w:t xml:space="preserve"> R18 mobility mechanisms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DC1C44D" w14:textId="77777777" w:rsidR="003A1C6C" w:rsidRPr="008E45D6" w:rsidRDefault="003A1C6C" w:rsidP="003A1C6C">
      <w:pPr>
        <w:pStyle w:val="Heading1"/>
        <w:spacing w:line="276" w:lineRule="auto"/>
        <w:ind w:left="450"/>
      </w:pPr>
      <w:r>
        <w:t>Background</w:t>
      </w:r>
    </w:p>
    <w:p w14:paraId="26451FF0" w14:textId="35AB97B8" w:rsidR="005C74B8" w:rsidRDefault="005C74B8" w:rsidP="005C74B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discuss potential MRO enhancements for R18 mobility mechanisms for the following objective in Rel-19 SON/MDT WI based on the open issues and agreements last meeting.</w:t>
      </w:r>
    </w:p>
    <w:p w14:paraId="44E6FDFF" w14:textId="77777777" w:rsidR="005C74B8" w:rsidRPr="00047F19" w:rsidRDefault="005C74B8" w:rsidP="005C74B8">
      <w:pPr>
        <w:contextualSpacing/>
        <w:rPr>
          <w:rFonts w:asciiTheme="minorHAnsi" w:hAnsiTheme="minorHAnsi" w:cstheme="minorHAnsi"/>
          <w:iCs/>
          <w:sz w:val="24"/>
          <w:szCs w:val="24"/>
        </w:rPr>
      </w:pPr>
    </w:p>
    <w:p w14:paraId="6CAB083C" w14:textId="77777777" w:rsidR="005C74B8" w:rsidRPr="005C74B8" w:rsidRDefault="005C74B8" w:rsidP="005C74B8">
      <w:pPr>
        <w:spacing w:line="280" w:lineRule="atLeast"/>
        <w:ind w:left="418"/>
        <w:rPr>
          <w:rFonts w:asciiTheme="minorHAnsi" w:hAnsiTheme="minorHAnsi" w:cstheme="minorHAnsi"/>
          <w:i/>
          <w:iCs/>
          <w:sz w:val="22"/>
          <w:szCs w:val="22"/>
        </w:rPr>
      </w:pPr>
      <w:r w:rsidRPr="005C74B8">
        <w:rPr>
          <w:rFonts w:asciiTheme="minorHAnsi" w:hAnsiTheme="minorHAnsi" w:cstheme="minorHAnsi"/>
          <w:i/>
          <w:iCs/>
          <w:sz w:val="22"/>
          <w:szCs w:val="22"/>
        </w:rPr>
        <w:t>MRO enhancement for R18 mobility mechanisms, including, Lower layer triggered mobility (LTM), CHO with candidate SCGs, subsequent CPAC [RAN3, RAN2]:</w:t>
      </w:r>
    </w:p>
    <w:p w14:paraId="7867D583" w14:textId="77777777" w:rsidR="005C74B8" w:rsidRPr="005C74B8" w:rsidRDefault="005C74B8" w:rsidP="00434E98">
      <w:pPr>
        <w:pStyle w:val="ListParagraph"/>
        <w:numPr>
          <w:ilvl w:val="0"/>
          <w:numId w:val="12"/>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Specification of the inter-node information exchange, including possible enhancements to interfaces [RAN3]</w:t>
      </w:r>
    </w:p>
    <w:p w14:paraId="4276FC33" w14:textId="77777777" w:rsidR="005C74B8" w:rsidRPr="005C74B8" w:rsidRDefault="005C74B8" w:rsidP="00434E98">
      <w:pPr>
        <w:pStyle w:val="ListParagraph"/>
        <w:numPr>
          <w:ilvl w:val="0"/>
          <w:numId w:val="12"/>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Identify and specify necessary UE reporting to enhance the mobility parameter tuning [RAN2]</w:t>
      </w:r>
    </w:p>
    <w:p w14:paraId="3FE392D1" w14:textId="77777777" w:rsidR="005C74B8" w:rsidRPr="00047F19" w:rsidRDefault="005C74B8" w:rsidP="005C74B8">
      <w:pPr>
        <w:pStyle w:val="ListParagraph"/>
        <w:overflowPunct/>
        <w:autoSpaceDE/>
        <w:autoSpaceDN/>
        <w:adjustRightInd/>
        <w:spacing w:before="120" w:after="160" w:line="280" w:lineRule="atLeast"/>
        <w:ind w:left="1196"/>
        <w:textAlignment w:val="auto"/>
        <w:rPr>
          <w:rFonts w:asciiTheme="minorHAnsi" w:hAnsiTheme="minorHAnsi" w:cstheme="minorHAnsi"/>
          <w:sz w:val="22"/>
          <w:szCs w:val="22"/>
        </w:rPr>
      </w:pPr>
    </w:p>
    <w:p w14:paraId="7B502DCF" w14:textId="3EAB77E5" w:rsidR="00DE6FFF" w:rsidRDefault="002727D6" w:rsidP="0026702A">
      <w:pPr>
        <w:pStyle w:val="Heading1"/>
        <w:spacing w:line="276" w:lineRule="auto"/>
        <w:ind w:left="450"/>
      </w:pPr>
      <w:r>
        <w:t>Discussion</w:t>
      </w:r>
    </w:p>
    <w:p w14:paraId="03265B09" w14:textId="36438445" w:rsidR="005933DE" w:rsidRDefault="0060052A" w:rsidP="005933DE">
      <w:pPr>
        <w:pStyle w:val="Heading2"/>
        <w:ind w:left="540"/>
      </w:pPr>
      <w:bookmarkStart w:id="1" w:name="_Toc178770614"/>
      <w:bookmarkStart w:id="2" w:name="_Toc181718197"/>
      <w:bookmarkStart w:id="3" w:name="_Toc181795611"/>
      <w:bookmarkStart w:id="4" w:name="_Toc189561059"/>
      <w:bookmarkStart w:id="5" w:name="_Toc193809395"/>
      <w:bookmarkStart w:id="6" w:name="_Toc193811260"/>
      <w:bookmarkStart w:id="7" w:name="_Toc193811328"/>
      <w:bookmarkStart w:id="8" w:name="_Toc193811389"/>
      <w:bookmarkStart w:id="9" w:name="_Toc193896314"/>
      <w:r>
        <w:t>MRO for LTM</w:t>
      </w:r>
      <w:bookmarkEnd w:id="1"/>
      <w:bookmarkEnd w:id="2"/>
      <w:bookmarkEnd w:id="3"/>
      <w:bookmarkEnd w:id="4"/>
      <w:bookmarkEnd w:id="5"/>
      <w:bookmarkEnd w:id="6"/>
      <w:bookmarkEnd w:id="7"/>
      <w:bookmarkEnd w:id="8"/>
      <w:bookmarkEnd w:id="9"/>
    </w:p>
    <w:p w14:paraId="6A524059" w14:textId="66847073" w:rsidR="00DF60D3" w:rsidRDefault="00575F0A" w:rsidP="00DF60D3">
      <w:pPr>
        <w:pStyle w:val="Heading3"/>
        <w:spacing w:after="0"/>
        <w:textAlignment w:val="center"/>
      </w:pPr>
      <w:r>
        <w:t>Distinguishing UE-based TA vs. NW provided TA</w:t>
      </w:r>
    </w:p>
    <w:p w14:paraId="02D4BC91" w14:textId="77777777" w:rsidR="00FC6BE8" w:rsidRDefault="00FC6BE8" w:rsidP="006A5B28">
      <w:pPr>
        <w:rPr>
          <w:rFonts w:asciiTheme="minorHAnsi" w:hAnsiTheme="minorHAnsi" w:cstheme="minorHAnsi"/>
          <w:sz w:val="22"/>
          <w:szCs w:val="22"/>
        </w:rPr>
      </w:pPr>
    </w:p>
    <w:p w14:paraId="5272A58E" w14:textId="1866334F" w:rsidR="008909D1" w:rsidRDefault="008909D1" w:rsidP="006A5B28">
      <w:pPr>
        <w:rPr>
          <w:rFonts w:asciiTheme="minorHAnsi" w:hAnsiTheme="minorHAnsi" w:cstheme="minorHAnsi"/>
          <w:sz w:val="22"/>
          <w:szCs w:val="22"/>
        </w:rPr>
      </w:pPr>
      <w:r>
        <w:rPr>
          <w:rFonts w:asciiTheme="minorHAnsi" w:hAnsiTheme="minorHAnsi" w:cstheme="minorHAnsi"/>
          <w:sz w:val="22"/>
          <w:szCs w:val="22"/>
        </w:rPr>
        <w:t>RAN2 agreed the following:</w:t>
      </w:r>
    </w:p>
    <w:p w14:paraId="6025B5A6" w14:textId="3A95B642" w:rsidR="00694BDD" w:rsidRPr="008909D1" w:rsidRDefault="008909D1" w:rsidP="008909D1">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1D1B31">
        <w:rPr>
          <w:rFonts w:asciiTheme="minorHAnsi" w:hAnsiTheme="minorHAnsi" w:cstheme="minorHAnsi"/>
          <w:color w:val="00B050"/>
          <w:sz w:val="22"/>
          <w:szCs w:val="22"/>
          <w:highlight w:val="yellow"/>
        </w:rPr>
        <w:t>Unless RAN3 defines a NW-based solution</w:t>
      </w:r>
      <w:r w:rsidRPr="008909D1">
        <w:rPr>
          <w:rFonts w:asciiTheme="minorHAnsi" w:hAnsiTheme="minorHAnsi" w:cstheme="minorHAnsi"/>
          <w:color w:val="00B050"/>
          <w:sz w:val="22"/>
          <w:szCs w:val="22"/>
        </w:rPr>
        <w:t>: The UE logs and reports whether and how the UE got the TA value used for a failed LTM switch (gNB indicated or UE determined).</w:t>
      </w:r>
    </w:p>
    <w:p w14:paraId="221661BB" w14:textId="193A0A06" w:rsidR="00694BDD" w:rsidRDefault="00836EB8" w:rsidP="006A5B28">
      <w:pPr>
        <w:rPr>
          <w:rFonts w:asciiTheme="minorHAnsi" w:hAnsiTheme="minorHAnsi" w:cstheme="minorHAnsi"/>
          <w:sz w:val="22"/>
          <w:szCs w:val="22"/>
        </w:rPr>
      </w:pPr>
      <w:r>
        <w:rPr>
          <w:rFonts w:asciiTheme="minorHAnsi" w:hAnsiTheme="minorHAnsi" w:cstheme="minorHAnsi"/>
          <w:sz w:val="22"/>
          <w:szCs w:val="22"/>
        </w:rPr>
        <w:t>Correspondingly</w:t>
      </w:r>
      <w:r w:rsidR="00677B3F">
        <w:rPr>
          <w:rFonts w:asciiTheme="minorHAnsi" w:hAnsiTheme="minorHAnsi" w:cstheme="minorHAnsi"/>
          <w:sz w:val="22"/>
          <w:szCs w:val="22"/>
        </w:rPr>
        <w:t xml:space="preserve">, </w:t>
      </w:r>
      <w:r w:rsidR="00694BDD">
        <w:rPr>
          <w:rFonts w:asciiTheme="minorHAnsi" w:hAnsiTheme="minorHAnsi" w:cstheme="minorHAnsi"/>
          <w:sz w:val="22"/>
          <w:szCs w:val="22"/>
        </w:rPr>
        <w:t>RAN3 has the following open issue:</w:t>
      </w:r>
    </w:p>
    <w:p w14:paraId="4C8D8844" w14:textId="77777777" w:rsidR="005B6037" w:rsidRPr="005B6037" w:rsidRDefault="005B6037" w:rsidP="005B603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5B6037">
        <w:rPr>
          <w:rFonts w:asciiTheme="minorHAnsi" w:hAnsiTheme="minorHAnsi" w:cstheme="minorHAnsi"/>
          <w:color w:val="0070C0"/>
          <w:sz w:val="22"/>
          <w:szCs w:val="22"/>
        </w:rPr>
        <w:t>FFS whether to support Network based or UE based solution for TA acquisition type (UE-determined or gNB provided)</w:t>
      </w:r>
    </w:p>
    <w:p w14:paraId="49EA27BA" w14:textId="701C3DCD" w:rsidR="005B6037" w:rsidRDefault="005B6037" w:rsidP="005B603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5B6037">
        <w:rPr>
          <w:rFonts w:asciiTheme="minorHAnsi" w:hAnsiTheme="minorHAnsi" w:cstheme="minorHAnsi"/>
          <w:color w:val="0070C0"/>
          <w:sz w:val="22"/>
          <w:szCs w:val="22"/>
        </w:rPr>
        <w:t>There is no consensus whether TA acquisition type is always available in the CU or is there a need for the DU to store and retrieve (partial) UE Context?</w:t>
      </w:r>
    </w:p>
    <w:p w14:paraId="25ED3F2D" w14:textId="77777777" w:rsidR="004E0E65" w:rsidRDefault="004E0E65" w:rsidP="006A5B28">
      <w:pPr>
        <w:rPr>
          <w:rFonts w:asciiTheme="minorHAnsi" w:hAnsiTheme="minorHAnsi" w:cstheme="minorHAnsi"/>
          <w:sz w:val="22"/>
          <w:szCs w:val="22"/>
        </w:rPr>
      </w:pPr>
    </w:p>
    <w:p w14:paraId="46B752B3" w14:textId="77777777" w:rsidR="004E0E65" w:rsidRDefault="004E0E65" w:rsidP="006A5B28">
      <w:pPr>
        <w:rPr>
          <w:rFonts w:asciiTheme="minorHAnsi" w:hAnsiTheme="minorHAnsi" w:cstheme="minorHAnsi"/>
          <w:sz w:val="22"/>
          <w:szCs w:val="22"/>
        </w:rPr>
      </w:pPr>
    </w:p>
    <w:p w14:paraId="67EF3070" w14:textId="77777777" w:rsidR="004E0E65" w:rsidRDefault="004E0E65" w:rsidP="006A5B28">
      <w:pPr>
        <w:rPr>
          <w:rFonts w:asciiTheme="minorHAnsi" w:hAnsiTheme="minorHAnsi" w:cstheme="minorHAnsi"/>
          <w:sz w:val="22"/>
          <w:szCs w:val="22"/>
        </w:rPr>
      </w:pPr>
    </w:p>
    <w:p w14:paraId="60947B05" w14:textId="77777777" w:rsidR="004E0E65" w:rsidRDefault="004E0E65" w:rsidP="006A5B28">
      <w:pPr>
        <w:rPr>
          <w:rFonts w:asciiTheme="minorHAnsi" w:hAnsiTheme="minorHAnsi" w:cstheme="minorHAnsi"/>
          <w:sz w:val="22"/>
          <w:szCs w:val="22"/>
        </w:rPr>
      </w:pPr>
    </w:p>
    <w:p w14:paraId="5EB8405F" w14:textId="77777777" w:rsidR="00112BD5" w:rsidRDefault="00637FC1" w:rsidP="00685236">
      <w:pPr>
        <w:rPr>
          <w:rFonts w:asciiTheme="minorHAnsi" w:hAnsiTheme="minorHAnsi" w:cstheme="minorHAnsi"/>
          <w:sz w:val="22"/>
          <w:szCs w:val="22"/>
        </w:rPr>
      </w:pPr>
      <w:bookmarkStart w:id="10" w:name="_Toc178770628"/>
      <w:bookmarkStart w:id="11" w:name="_Toc181718205"/>
      <w:r>
        <w:rPr>
          <w:rFonts w:asciiTheme="minorHAnsi" w:hAnsiTheme="minorHAnsi" w:cstheme="minorHAnsi"/>
          <w:sz w:val="22"/>
          <w:szCs w:val="22"/>
        </w:rPr>
        <w:lastRenderedPageBreak/>
        <w:t xml:space="preserve">In our view, </w:t>
      </w:r>
      <w:proofErr w:type="gramStart"/>
      <w:r>
        <w:rPr>
          <w:rFonts w:asciiTheme="minorHAnsi" w:hAnsiTheme="minorHAnsi" w:cstheme="minorHAnsi"/>
          <w:sz w:val="22"/>
          <w:szCs w:val="22"/>
        </w:rPr>
        <w:t>S</w:t>
      </w:r>
      <w:r w:rsidR="00685236" w:rsidRPr="00685236">
        <w:rPr>
          <w:rFonts w:asciiTheme="minorHAnsi" w:hAnsiTheme="minorHAnsi" w:cstheme="minorHAnsi"/>
          <w:sz w:val="22"/>
          <w:szCs w:val="22"/>
        </w:rPr>
        <w:t>ource</w:t>
      </w:r>
      <w:proofErr w:type="gramEnd"/>
      <w:r w:rsidR="00685236" w:rsidRPr="00685236">
        <w:rPr>
          <w:rFonts w:asciiTheme="minorHAnsi" w:hAnsiTheme="minorHAnsi" w:cstheme="minorHAnsi"/>
          <w:sz w:val="22"/>
          <w:szCs w:val="22"/>
        </w:rPr>
        <w:t xml:space="preserve"> gNB-CU can always determine the TA acquisition type (gNB provided or UE determined) as it knows</w:t>
      </w:r>
      <w:r>
        <w:rPr>
          <w:rFonts w:asciiTheme="minorHAnsi" w:hAnsiTheme="minorHAnsi" w:cstheme="minorHAnsi"/>
          <w:sz w:val="22"/>
          <w:szCs w:val="22"/>
        </w:rPr>
        <w:t xml:space="preserve"> </w:t>
      </w:r>
    </w:p>
    <w:p w14:paraId="23FF143E" w14:textId="7689EA78" w:rsidR="00112BD5" w:rsidRPr="00112BD5" w:rsidRDefault="00685236" w:rsidP="00112BD5">
      <w:pPr>
        <w:pStyle w:val="ListParagraph"/>
        <w:numPr>
          <w:ilvl w:val="0"/>
          <w:numId w:val="37"/>
        </w:numPr>
        <w:rPr>
          <w:rFonts w:asciiTheme="minorHAnsi" w:hAnsiTheme="minorHAnsi" w:cstheme="minorHAnsi"/>
          <w:sz w:val="22"/>
          <w:szCs w:val="22"/>
        </w:rPr>
      </w:pPr>
      <w:r w:rsidRPr="00112BD5">
        <w:rPr>
          <w:rFonts w:asciiTheme="minorHAnsi" w:hAnsiTheme="minorHAnsi" w:cstheme="minorHAnsi"/>
          <w:sz w:val="22"/>
          <w:szCs w:val="22"/>
        </w:rPr>
        <w:t xml:space="preserve">Whether it has configured the UE to perform UE-based TA measurement (e.g., via the </w:t>
      </w:r>
      <w:proofErr w:type="spellStart"/>
      <w:r w:rsidRPr="00112BD5">
        <w:rPr>
          <w:rFonts w:asciiTheme="minorHAnsi" w:hAnsiTheme="minorHAnsi" w:cstheme="minorHAnsi"/>
          <w:i/>
          <w:iCs/>
          <w:sz w:val="22"/>
          <w:szCs w:val="22"/>
        </w:rPr>
        <w:t>ltm</w:t>
      </w:r>
      <w:proofErr w:type="spellEnd"/>
      <w:r w:rsidRPr="00112BD5">
        <w:rPr>
          <w:rFonts w:asciiTheme="minorHAnsi" w:hAnsiTheme="minorHAnsi" w:cstheme="minorHAnsi"/>
          <w:i/>
          <w:iCs/>
          <w:sz w:val="22"/>
          <w:szCs w:val="22"/>
        </w:rPr>
        <w:t>-UE-MeasuredTA-ID</w:t>
      </w:r>
      <w:r w:rsidRPr="00112BD5">
        <w:rPr>
          <w:rFonts w:asciiTheme="minorHAnsi" w:hAnsiTheme="minorHAnsi" w:cstheme="minorHAnsi"/>
          <w:sz w:val="22"/>
          <w:szCs w:val="22"/>
        </w:rPr>
        <w:t>)</w:t>
      </w:r>
      <w:r w:rsidR="00637FC1" w:rsidRPr="00112BD5">
        <w:rPr>
          <w:rFonts w:asciiTheme="minorHAnsi" w:hAnsiTheme="minorHAnsi" w:cstheme="minorHAnsi"/>
          <w:sz w:val="22"/>
          <w:szCs w:val="22"/>
        </w:rPr>
        <w:t xml:space="preserve">, </w:t>
      </w:r>
    </w:p>
    <w:p w14:paraId="38E5335C" w14:textId="1140BAE2" w:rsidR="00112BD5" w:rsidRPr="00112BD5" w:rsidRDefault="00637FC1" w:rsidP="00112BD5">
      <w:pPr>
        <w:pStyle w:val="ListParagraph"/>
        <w:numPr>
          <w:ilvl w:val="0"/>
          <w:numId w:val="37"/>
        </w:numPr>
        <w:rPr>
          <w:rFonts w:asciiTheme="minorHAnsi" w:hAnsiTheme="minorHAnsi" w:cstheme="minorHAnsi"/>
          <w:sz w:val="22"/>
          <w:szCs w:val="22"/>
        </w:rPr>
      </w:pPr>
      <w:r w:rsidRPr="00112BD5">
        <w:rPr>
          <w:rFonts w:asciiTheme="minorHAnsi" w:hAnsiTheme="minorHAnsi" w:cstheme="minorHAnsi"/>
          <w:sz w:val="22"/>
          <w:szCs w:val="22"/>
        </w:rPr>
        <w:t>w</w:t>
      </w:r>
      <w:r w:rsidR="00685236" w:rsidRPr="00112BD5">
        <w:rPr>
          <w:rFonts w:asciiTheme="minorHAnsi" w:hAnsiTheme="minorHAnsi" w:cstheme="minorHAnsi"/>
          <w:sz w:val="22"/>
          <w:szCs w:val="22"/>
        </w:rPr>
        <w:t xml:space="preserve">hether the candidate gNB-DU has determined TA for that LTM candidate cell upon receiving </w:t>
      </w:r>
      <w:r w:rsidR="00685236" w:rsidRPr="00112BD5">
        <w:rPr>
          <w:rFonts w:asciiTheme="minorHAnsi" w:hAnsiTheme="minorHAnsi" w:cstheme="minorHAnsi"/>
          <w:b/>
          <w:bCs/>
          <w:sz w:val="22"/>
          <w:szCs w:val="22"/>
        </w:rPr>
        <w:t>DU-CU TA Information Transfer</w:t>
      </w:r>
      <w:r w:rsidR="00685236" w:rsidRPr="00112BD5">
        <w:rPr>
          <w:rFonts w:asciiTheme="minorHAnsi" w:hAnsiTheme="minorHAnsi" w:cstheme="minorHAnsi"/>
          <w:sz w:val="22"/>
          <w:szCs w:val="22"/>
        </w:rPr>
        <w:t xml:space="preserve"> and whether it has forwarded that info to the source gNB-DU via </w:t>
      </w:r>
      <w:r w:rsidR="00685236" w:rsidRPr="00112BD5">
        <w:rPr>
          <w:rFonts w:asciiTheme="minorHAnsi" w:hAnsiTheme="minorHAnsi" w:cstheme="minorHAnsi"/>
          <w:b/>
          <w:bCs/>
          <w:sz w:val="22"/>
          <w:szCs w:val="22"/>
        </w:rPr>
        <w:t>CU-DU TA Information Transfer</w:t>
      </w:r>
      <w:r w:rsidRPr="00112BD5">
        <w:rPr>
          <w:rFonts w:asciiTheme="minorHAnsi" w:hAnsiTheme="minorHAnsi" w:cstheme="minorHAnsi"/>
          <w:sz w:val="22"/>
          <w:szCs w:val="22"/>
        </w:rPr>
        <w:t xml:space="preserve"> and </w:t>
      </w:r>
    </w:p>
    <w:p w14:paraId="0419E464" w14:textId="76366AA2" w:rsidR="00685236" w:rsidRPr="00112BD5" w:rsidRDefault="00637FC1" w:rsidP="00112BD5">
      <w:pPr>
        <w:pStyle w:val="ListParagraph"/>
        <w:numPr>
          <w:ilvl w:val="0"/>
          <w:numId w:val="37"/>
        </w:numPr>
        <w:rPr>
          <w:rFonts w:asciiTheme="minorHAnsi" w:hAnsiTheme="minorHAnsi" w:cstheme="minorHAnsi"/>
          <w:sz w:val="22"/>
          <w:szCs w:val="22"/>
        </w:rPr>
      </w:pPr>
      <w:r w:rsidRPr="00112BD5">
        <w:rPr>
          <w:rFonts w:asciiTheme="minorHAnsi" w:hAnsiTheme="minorHAnsi" w:cstheme="minorHAnsi"/>
          <w:sz w:val="22"/>
          <w:szCs w:val="22"/>
        </w:rPr>
        <w:t>w</w:t>
      </w:r>
      <w:r w:rsidR="00685236" w:rsidRPr="00112BD5">
        <w:rPr>
          <w:rFonts w:asciiTheme="minorHAnsi" w:hAnsiTheme="minorHAnsi" w:cstheme="minorHAnsi"/>
          <w:sz w:val="22"/>
          <w:szCs w:val="22"/>
        </w:rPr>
        <w:t>hether the TA value was provided by source gNB-DU to UE in CSC upon receiving the DU-CU CELL SWITCH NOTIFICATION</w:t>
      </w:r>
    </w:p>
    <w:p w14:paraId="14EB0512" w14:textId="50D29625" w:rsidR="00685236" w:rsidRDefault="00637FC1" w:rsidP="00685236">
      <w:pPr>
        <w:rPr>
          <w:rFonts w:asciiTheme="minorHAnsi" w:hAnsiTheme="minorHAnsi" w:cstheme="minorHAnsi"/>
          <w:sz w:val="22"/>
          <w:szCs w:val="22"/>
        </w:rPr>
      </w:pPr>
      <w:r>
        <w:rPr>
          <w:rFonts w:asciiTheme="minorHAnsi" w:hAnsiTheme="minorHAnsi" w:cstheme="minorHAnsi"/>
          <w:sz w:val="22"/>
          <w:szCs w:val="22"/>
        </w:rPr>
        <w:t>Also, we think that t</w:t>
      </w:r>
      <w:r w:rsidR="00685236" w:rsidRPr="00685236">
        <w:rPr>
          <w:rFonts w:asciiTheme="minorHAnsi" w:hAnsiTheme="minorHAnsi" w:cstheme="minorHAnsi"/>
          <w:sz w:val="22"/>
          <w:szCs w:val="22"/>
        </w:rPr>
        <w:t>here is no need for source gNB-DU to store and retrieve UE context to determine the TA acquisition type</w:t>
      </w:r>
      <w:r>
        <w:rPr>
          <w:rFonts w:asciiTheme="minorHAnsi" w:hAnsiTheme="minorHAnsi" w:cstheme="minorHAnsi"/>
          <w:sz w:val="22"/>
          <w:szCs w:val="22"/>
        </w:rPr>
        <w:t xml:space="preserve"> as source gNB-CU has all the information to determine the TA acquisition type.</w:t>
      </w:r>
    </w:p>
    <w:p w14:paraId="42CF30FA" w14:textId="77777777" w:rsidR="00E421A7" w:rsidRPr="00E421A7" w:rsidRDefault="009C792F" w:rsidP="00E421A7">
      <w:pPr>
        <w:pStyle w:val="PropObs"/>
      </w:pPr>
      <w:bookmarkStart w:id="12" w:name="_Hlk193809983"/>
      <w:bookmarkStart w:id="13" w:name="_Toc193811261"/>
      <w:bookmarkStart w:id="14" w:name="_Toc193811329"/>
      <w:bookmarkStart w:id="15" w:name="_Toc193811390"/>
      <w:bookmarkStart w:id="16" w:name="_Toc193896315"/>
      <w:r w:rsidRPr="00E421A7">
        <w:rPr>
          <w:rFonts w:asciiTheme="minorHAnsi" w:eastAsia="Malgun Gothic" w:hAnsiTheme="minorHAnsi" w:cstheme="minorHAnsi"/>
        </w:rPr>
        <w:t>Source gNB-CU can always determine the TA acquisition type (gNB provided or UE determined) as it knows</w:t>
      </w:r>
      <w:bookmarkEnd w:id="12"/>
      <w:bookmarkEnd w:id="13"/>
      <w:bookmarkEnd w:id="14"/>
      <w:bookmarkEnd w:id="15"/>
      <w:bookmarkEnd w:id="16"/>
    </w:p>
    <w:p w14:paraId="6AD24DE6" w14:textId="77777777" w:rsidR="00E421A7" w:rsidRPr="00E421A7" w:rsidRDefault="007D51D2" w:rsidP="00E421A7">
      <w:pPr>
        <w:pStyle w:val="PropObs"/>
        <w:numPr>
          <w:ilvl w:val="1"/>
          <w:numId w:val="5"/>
        </w:numPr>
      </w:pPr>
      <w:bookmarkStart w:id="17" w:name="_Toc193811262"/>
      <w:bookmarkStart w:id="18" w:name="_Toc193811330"/>
      <w:bookmarkStart w:id="19" w:name="_Toc193811391"/>
      <w:bookmarkStart w:id="20" w:name="_Toc193896316"/>
      <w:r w:rsidRPr="00E421A7">
        <w:rPr>
          <w:rFonts w:asciiTheme="minorHAnsi" w:hAnsiTheme="minorHAnsi" w:cstheme="minorHAnsi"/>
        </w:rPr>
        <w:t xml:space="preserve">Whether it has configured the UE to perform UE-based TA measurement (e.g., via the </w:t>
      </w:r>
      <w:proofErr w:type="spellStart"/>
      <w:r w:rsidRPr="00E421A7">
        <w:rPr>
          <w:rFonts w:asciiTheme="minorHAnsi" w:hAnsiTheme="minorHAnsi" w:cstheme="minorHAnsi"/>
        </w:rPr>
        <w:t>ltm</w:t>
      </w:r>
      <w:proofErr w:type="spellEnd"/>
      <w:r w:rsidRPr="00E421A7">
        <w:rPr>
          <w:rFonts w:asciiTheme="minorHAnsi" w:hAnsiTheme="minorHAnsi" w:cstheme="minorHAnsi"/>
        </w:rPr>
        <w:t>-UE-MeasuredTA-ID)</w:t>
      </w:r>
      <w:bookmarkEnd w:id="17"/>
      <w:bookmarkEnd w:id="18"/>
      <w:bookmarkEnd w:id="19"/>
      <w:bookmarkEnd w:id="20"/>
    </w:p>
    <w:p w14:paraId="72A08255" w14:textId="7BA29D26" w:rsidR="00E421A7" w:rsidRPr="00E421A7" w:rsidRDefault="007D51D2" w:rsidP="00E421A7">
      <w:pPr>
        <w:pStyle w:val="PropObs"/>
        <w:numPr>
          <w:ilvl w:val="1"/>
          <w:numId w:val="5"/>
        </w:numPr>
      </w:pPr>
      <w:bookmarkStart w:id="21" w:name="_Toc193811263"/>
      <w:bookmarkStart w:id="22" w:name="_Toc193811331"/>
      <w:bookmarkStart w:id="23" w:name="_Toc193811392"/>
      <w:bookmarkStart w:id="24" w:name="_Toc193896317"/>
      <w:r w:rsidRPr="00E421A7">
        <w:rPr>
          <w:rFonts w:asciiTheme="minorHAnsi" w:hAnsiTheme="minorHAnsi" w:cstheme="minorHAnsi"/>
        </w:rPr>
        <w:t xml:space="preserve">Whether the candidate gNB-DU has determined TA for </w:t>
      </w:r>
      <w:r w:rsidR="003F435C">
        <w:rPr>
          <w:rFonts w:asciiTheme="minorHAnsi" w:hAnsiTheme="minorHAnsi" w:cstheme="minorHAnsi"/>
        </w:rPr>
        <w:t>an</w:t>
      </w:r>
      <w:r w:rsidRPr="00E421A7">
        <w:rPr>
          <w:rFonts w:asciiTheme="minorHAnsi" w:hAnsiTheme="minorHAnsi" w:cstheme="minorHAnsi"/>
        </w:rPr>
        <w:t xml:space="preserve"> LTM candidate cell upon receiving DU-CU TA Information Transfer and whether it has forwarded that info to the source gNB-DU via CU-DU TA Information Transfer.</w:t>
      </w:r>
      <w:bookmarkEnd w:id="21"/>
      <w:bookmarkEnd w:id="22"/>
      <w:bookmarkEnd w:id="23"/>
      <w:bookmarkEnd w:id="24"/>
    </w:p>
    <w:p w14:paraId="111A5F93" w14:textId="0F05F54F" w:rsidR="007D51D2" w:rsidRPr="00E421A7" w:rsidRDefault="007D51D2" w:rsidP="00E421A7">
      <w:pPr>
        <w:pStyle w:val="PropObs"/>
        <w:numPr>
          <w:ilvl w:val="1"/>
          <w:numId w:val="5"/>
        </w:numPr>
      </w:pPr>
      <w:bookmarkStart w:id="25" w:name="_Toc193811264"/>
      <w:bookmarkStart w:id="26" w:name="_Toc193811332"/>
      <w:bookmarkStart w:id="27" w:name="_Toc193811393"/>
      <w:bookmarkStart w:id="28" w:name="_Toc193896318"/>
      <w:r w:rsidRPr="00E421A7">
        <w:rPr>
          <w:rFonts w:asciiTheme="minorHAnsi" w:hAnsiTheme="minorHAnsi" w:cstheme="minorHAnsi"/>
        </w:rPr>
        <w:t>Whether the TA</w:t>
      </w:r>
      <w:r w:rsidR="009154A4" w:rsidRPr="00E421A7">
        <w:rPr>
          <w:rFonts w:asciiTheme="minorHAnsi" w:hAnsiTheme="minorHAnsi" w:cstheme="minorHAnsi"/>
        </w:rPr>
        <w:t xml:space="preserve"> value</w:t>
      </w:r>
      <w:r w:rsidRPr="00E421A7">
        <w:rPr>
          <w:rFonts w:asciiTheme="minorHAnsi" w:hAnsiTheme="minorHAnsi" w:cstheme="minorHAnsi"/>
        </w:rPr>
        <w:t xml:space="preserve"> was provided by </w:t>
      </w:r>
      <w:r w:rsidR="009154A4" w:rsidRPr="00E421A7">
        <w:rPr>
          <w:rFonts w:asciiTheme="minorHAnsi" w:hAnsiTheme="minorHAnsi" w:cstheme="minorHAnsi"/>
        </w:rPr>
        <w:t xml:space="preserve">source </w:t>
      </w:r>
      <w:r w:rsidRPr="00E421A7">
        <w:rPr>
          <w:rFonts w:asciiTheme="minorHAnsi" w:hAnsiTheme="minorHAnsi" w:cstheme="minorHAnsi"/>
        </w:rPr>
        <w:t xml:space="preserve">gNB-DU </w:t>
      </w:r>
      <w:r w:rsidR="009154A4" w:rsidRPr="00E421A7">
        <w:rPr>
          <w:rFonts w:asciiTheme="minorHAnsi" w:hAnsiTheme="minorHAnsi" w:cstheme="minorHAnsi"/>
        </w:rPr>
        <w:t xml:space="preserve">to UE </w:t>
      </w:r>
      <w:r w:rsidRPr="00E421A7">
        <w:rPr>
          <w:rFonts w:asciiTheme="minorHAnsi" w:hAnsiTheme="minorHAnsi" w:cstheme="minorHAnsi"/>
        </w:rPr>
        <w:t>in CSC upon receiving the DU-CU CELL SWITCH NOTIFICATION</w:t>
      </w:r>
      <w:bookmarkEnd w:id="25"/>
      <w:bookmarkEnd w:id="26"/>
      <w:bookmarkEnd w:id="27"/>
      <w:bookmarkEnd w:id="28"/>
    </w:p>
    <w:p w14:paraId="3687B2FF" w14:textId="77777777" w:rsidR="007D51D2" w:rsidRDefault="007D51D2" w:rsidP="007D51D2">
      <w:pPr>
        <w:rPr>
          <w:rFonts w:asciiTheme="minorHAnsi" w:hAnsiTheme="minorHAnsi" w:cstheme="minorHAnsi"/>
          <w:sz w:val="22"/>
          <w:szCs w:val="22"/>
        </w:rPr>
      </w:pPr>
    </w:p>
    <w:p w14:paraId="14A7FC23" w14:textId="0AF67E32" w:rsidR="003B4F73" w:rsidRDefault="003B4F73" w:rsidP="003B4F73">
      <w:pPr>
        <w:pStyle w:val="Observation"/>
        <w:numPr>
          <w:ilvl w:val="0"/>
          <w:numId w:val="3"/>
        </w:numPr>
        <w:overflowPunct/>
        <w:autoSpaceDE/>
        <w:autoSpaceDN/>
        <w:adjustRightInd/>
        <w:textAlignment w:val="auto"/>
      </w:pPr>
      <w:bookmarkStart w:id="29" w:name="_Toc193811394"/>
      <w:bookmarkStart w:id="30" w:name="_Toc193896319"/>
      <w:r>
        <w:t>T</w:t>
      </w:r>
      <w:r w:rsidRPr="003B4F73">
        <w:t>here is no need for source gNB-DU to store and retrieve UE context to determine the TA acquisition type as source gNB-CU has all the information to determine the TA acquisition type.</w:t>
      </w:r>
      <w:bookmarkEnd w:id="29"/>
      <w:bookmarkEnd w:id="30"/>
    </w:p>
    <w:p w14:paraId="772B07E2" w14:textId="55359E4C" w:rsidR="00FC6BE8" w:rsidRDefault="00685236" w:rsidP="00A54A9D">
      <w:pPr>
        <w:pStyle w:val="PropObs"/>
      </w:pPr>
      <w:bookmarkStart w:id="31" w:name="_Toc193809400"/>
      <w:bookmarkStart w:id="32" w:name="_Toc181795621"/>
      <w:bookmarkStart w:id="33" w:name="_Toc189561062"/>
      <w:bookmarkStart w:id="34" w:name="_Toc193811265"/>
      <w:bookmarkStart w:id="35" w:name="_Toc193811333"/>
      <w:bookmarkStart w:id="36" w:name="_Toc193811395"/>
      <w:bookmarkStart w:id="37" w:name="_Toc193896320"/>
      <w:r>
        <w:t>T</w:t>
      </w:r>
      <w:r w:rsidR="00BC6774">
        <w:t xml:space="preserve">here is no need for UE to report </w:t>
      </w:r>
      <w:r w:rsidR="00986A49">
        <w:t xml:space="preserve">the TA acquisition type (gNB indicated or UE determined) </w:t>
      </w:r>
      <w:r w:rsidR="00BC6774">
        <w:t>to the gNB</w:t>
      </w:r>
      <w:r w:rsidR="00BC6774" w:rsidRPr="00BC6774">
        <w:t xml:space="preserve"> </w:t>
      </w:r>
      <w:bookmarkEnd w:id="10"/>
      <w:bookmarkEnd w:id="11"/>
      <w:r w:rsidR="00CE759F">
        <w:t>in RLF Report</w:t>
      </w:r>
      <w:bookmarkEnd w:id="31"/>
      <w:r>
        <w:t xml:space="preserve">. </w:t>
      </w:r>
      <w:r w:rsidR="00CE759F">
        <w:t xml:space="preserve"> </w:t>
      </w:r>
      <w:bookmarkEnd w:id="32"/>
      <w:bookmarkEnd w:id="33"/>
      <w:r w:rsidRPr="00685236">
        <w:t>Send an LS to RAN2 that RAN3 has agreed on NW-based solution</w:t>
      </w:r>
      <w:r>
        <w:t>.</w:t>
      </w:r>
      <w:bookmarkEnd w:id="34"/>
      <w:bookmarkEnd w:id="35"/>
      <w:bookmarkEnd w:id="36"/>
      <w:bookmarkEnd w:id="37"/>
    </w:p>
    <w:p w14:paraId="5D385791" w14:textId="52D855B3" w:rsidR="00460480" w:rsidRPr="00482C93" w:rsidRDefault="00460480" w:rsidP="00460480">
      <w:pPr>
        <w:pStyle w:val="Heading3"/>
        <w:spacing w:after="0"/>
        <w:textAlignment w:val="center"/>
        <w:rPr>
          <w:rFonts w:ascii="Calibri" w:hAnsi="Calibri" w:cs="Calibri"/>
          <w:sz w:val="22"/>
          <w:szCs w:val="22"/>
          <w:lang w:eastAsia="zh-CN"/>
        </w:rPr>
      </w:pPr>
      <w:r>
        <w:t>UHI enhancements for LTM</w:t>
      </w:r>
    </w:p>
    <w:p w14:paraId="558447A4" w14:textId="77777777" w:rsidR="00460480" w:rsidRDefault="00460480" w:rsidP="00460480">
      <w:pPr>
        <w:spacing w:after="0"/>
        <w:textAlignment w:val="center"/>
        <w:rPr>
          <w:rFonts w:ascii="Calibri" w:hAnsi="Calibri" w:cs="Calibri"/>
          <w:sz w:val="22"/>
          <w:szCs w:val="22"/>
          <w:lang w:eastAsia="zh-CN"/>
        </w:rPr>
      </w:pPr>
    </w:p>
    <w:p w14:paraId="0536C6C6" w14:textId="567FB091" w:rsidR="00240AA3" w:rsidRDefault="00240AA3" w:rsidP="00460480">
      <w:pPr>
        <w:spacing w:after="0"/>
        <w:textAlignment w:val="center"/>
        <w:rPr>
          <w:rFonts w:ascii="Calibri" w:hAnsi="Calibri" w:cs="Calibri"/>
          <w:sz w:val="22"/>
          <w:szCs w:val="22"/>
          <w:lang w:eastAsia="zh-CN"/>
        </w:rPr>
      </w:pPr>
      <w:r>
        <w:rPr>
          <w:rFonts w:ascii="Calibri" w:hAnsi="Calibri" w:cs="Calibri"/>
          <w:sz w:val="22"/>
          <w:szCs w:val="22"/>
          <w:lang w:eastAsia="zh-CN"/>
        </w:rPr>
        <w:t xml:space="preserve">The following was </w:t>
      </w:r>
      <w:r w:rsidR="00B51B94">
        <w:rPr>
          <w:rFonts w:ascii="Calibri" w:hAnsi="Calibri" w:cs="Calibri"/>
          <w:sz w:val="22"/>
          <w:szCs w:val="22"/>
          <w:lang w:eastAsia="zh-CN"/>
        </w:rPr>
        <w:t xml:space="preserve">agreed </w:t>
      </w:r>
      <w:r>
        <w:rPr>
          <w:rFonts w:ascii="Calibri" w:hAnsi="Calibri" w:cs="Calibri"/>
          <w:sz w:val="22"/>
          <w:szCs w:val="22"/>
          <w:lang w:eastAsia="zh-CN"/>
        </w:rPr>
        <w:t>in last RAN3 meeting:</w:t>
      </w:r>
    </w:p>
    <w:p w14:paraId="7E41C501" w14:textId="77777777" w:rsidR="00240AA3" w:rsidRDefault="00240AA3" w:rsidP="00460480">
      <w:pPr>
        <w:spacing w:after="0"/>
        <w:textAlignment w:val="center"/>
        <w:rPr>
          <w:rFonts w:ascii="Calibri" w:hAnsi="Calibri" w:cs="Calibri"/>
          <w:sz w:val="22"/>
          <w:szCs w:val="22"/>
          <w:lang w:eastAsia="zh-CN"/>
        </w:rPr>
      </w:pPr>
    </w:p>
    <w:p w14:paraId="6CCDF75A" w14:textId="77777777" w:rsidR="00F60AE0" w:rsidRPr="00F60AE0" w:rsidRDefault="00F60AE0" w:rsidP="00F60AE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F60AE0">
        <w:rPr>
          <w:rFonts w:ascii="Calibri" w:hAnsi="Calibri" w:cs="Calibri"/>
          <w:color w:val="00B050"/>
          <w:sz w:val="22"/>
          <w:szCs w:val="22"/>
          <w:lang w:eastAsia="zh-CN"/>
        </w:rPr>
        <w:t>DU should be able to resolve LTM ping-pong based on “information” over F1</w:t>
      </w:r>
    </w:p>
    <w:p w14:paraId="1872912A" w14:textId="77777777" w:rsidR="00F60AE0" w:rsidRPr="00F60AE0" w:rsidRDefault="00F60AE0" w:rsidP="00F60AE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p>
    <w:p w14:paraId="34973008" w14:textId="77777777" w:rsidR="00F60AE0" w:rsidRPr="00F60AE0" w:rsidRDefault="00F60AE0" w:rsidP="00F60AE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70C0"/>
          <w:sz w:val="22"/>
          <w:szCs w:val="22"/>
          <w:lang w:eastAsia="zh-CN"/>
        </w:rPr>
      </w:pPr>
      <w:r w:rsidRPr="00F60AE0">
        <w:rPr>
          <w:rFonts w:ascii="Calibri" w:hAnsi="Calibri" w:cs="Calibri"/>
          <w:color w:val="0070C0"/>
          <w:sz w:val="22"/>
          <w:szCs w:val="22"/>
          <w:lang w:eastAsia="zh-CN"/>
        </w:rPr>
        <w:t>No consensus whether UHI can be forwarded from CU to DU to assist DU in resolving LTM ping-pong</w:t>
      </w:r>
    </w:p>
    <w:p w14:paraId="3C6D32CF" w14:textId="77777777" w:rsidR="00F60AE0" w:rsidRPr="00F60AE0" w:rsidRDefault="00F60AE0" w:rsidP="00F60AE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p>
    <w:p w14:paraId="0D9746B5" w14:textId="7E37C428" w:rsidR="00F60AE0" w:rsidRPr="00F60AE0" w:rsidRDefault="00F60AE0" w:rsidP="00F60AE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F60AE0">
        <w:rPr>
          <w:rFonts w:ascii="Calibri" w:hAnsi="Calibri" w:cs="Calibri"/>
          <w:color w:val="00B050"/>
          <w:sz w:val="22"/>
          <w:szCs w:val="22"/>
          <w:lang w:eastAsia="zh-CN"/>
        </w:rPr>
        <w:t>CU can adjust the LTM candidate cell list based on UHI</w:t>
      </w:r>
    </w:p>
    <w:p w14:paraId="089A7010" w14:textId="77777777" w:rsidR="00240AA3" w:rsidRDefault="00240AA3" w:rsidP="00460480">
      <w:pPr>
        <w:spacing w:after="0"/>
        <w:textAlignment w:val="center"/>
        <w:rPr>
          <w:rFonts w:ascii="Calibri" w:hAnsi="Calibri" w:cs="Calibri"/>
          <w:sz w:val="22"/>
          <w:szCs w:val="22"/>
          <w:lang w:eastAsia="zh-CN"/>
        </w:rPr>
      </w:pPr>
    </w:p>
    <w:p w14:paraId="3A0C46B9" w14:textId="27E6B199" w:rsidR="000804C7" w:rsidRDefault="000804C7" w:rsidP="00460480">
      <w:pPr>
        <w:spacing w:after="0"/>
        <w:textAlignment w:val="center"/>
        <w:rPr>
          <w:rFonts w:ascii="Calibri" w:hAnsi="Calibri" w:cs="Calibri"/>
          <w:sz w:val="22"/>
          <w:szCs w:val="22"/>
          <w:lang w:eastAsia="zh-CN"/>
        </w:rPr>
      </w:pPr>
      <w:r>
        <w:rPr>
          <w:rFonts w:ascii="Calibri" w:hAnsi="Calibri" w:cs="Calibri"/>
          <w:sz w:val="22"/>
          <w:szCs w:val="22"/>
          <w:lang w:eastAsia="zh-CN"/>
        </w:rPr>
        <w:t>gNB-DU is responsible for selecting the target cell among the configured LTM candidates and sending the LTM CSC MAC-CE. Therefore,</w:t>
      </w:r>
      <w:r w:rsidR="00264035">
        <w:rPr>
          <w:rFonts w:ascii="Calibri" w:hAnsi="Calibri" w:cs="Calibri"/>
          <w:sz w:val="22"/>
          <w:szCs w:val="22"/>
          <w:lang w:eastAsia="zh-CN"/>
        </w:rPr>
        <w:t xml:space="preserve"> in our view</w:t>
      </w:r>
      <w:r>
        <w:rPr>
          <w:rFonts w:ascii="Calibri" w:hAnsi="Calibri" w:cs="Calibri"/>
          <w:sz w:val="22"/>
          <w:szCs w:val="22"/>
          <w:lang w:eastAsia="zh-CN"/>
        </w:rPr>
        <w:t xml:space="preserve"> gNB-DU should be </w:t>
      </w:r>
      <w:r w:rsidR="005931CB">
        <w:rPr>
          <w:rFonts w:ascii="Calibri" w:hAnsi="Calibri" w:cs="Calibri"/>
          <w:sz w:val="22"/>
          <w:szCs w:val="22"/>
          <w:lang w:eastAsia="zh-CN"/>
        </w:rPr>
        <w:t>responsible for avoiding ping-pong LTM cell switches</w:t>
      </w:r>
      <w:r w:rsidR="00264035">
        <w:rPr>
          <w:rFonts w:ascii="Calibri" w:hAnsi="Calibri" w:cs="Calibri"/>
          <w:sz w:val="22"/>
          <w:szCs w:val="22"/>
          <w:lang w:eastAsia="zh-CN"/>
        </w:rPr>
        <w:t>. To assist the gNB-DU to resolve LTM ping-pong, we think that the gNB-CU may forward the UHI to gNB-DU.</w:t>
      </w:r>
    </w:p>
    <w:p w14:paraId="75F0B8E4" w14:textId="77777777" w:rsidR="00264035" w:rsidRDefault="00264035" w:rsidP="00460480">
      <w:pPr>
        <w:spacing w:after="0"/>
        <w:textAlignment w:val="center"/>
        <w:rPr>
          <w:rFonts w:ascii="Calibri" w:hAnsi="Calibri" w:cs="Calibri"/>
          <w:sz w:val="22"/>
          <w:szCs w:val="22"/>
          <w:lang w:eastAsia="zh-CN"/>
        </w:rPr>
      </w:pPr>
    </w:p>
    <w:p w14:paraId="4EFB0930" w14:textId="2B056779" w:rsidR="00A460AC" w:rsidRDefault="00A460AC" w:rsidP="00A460AC">
      <w:pPr>
        <w:pStyle w:val="PropObs"/>
      </w:pPr>
      <w:bookmarkStart w:id="38" w:name="_Toc189561067"/>
      <w:bookmarkStart w:id="39" w:name="_Toc193809403"/>
      <w:bookmarkStart w:id="40" w:name="_Toc193811266"/>
      <w:bookmarkStart w:id="41" w:name="_Toc193811334"/>
      <w:bookmarkStart w:id="42" w:name="_Toc193811396"/>
      <w:bookmarkStart w:id="43" w:name="_Toc193896321"/>
      <w:r>
        <w:t>gNB-</w:t>
      </w:r>
      <w:r w:rsidRPr="007D60EF">
        <w:t xml:space="preserve">CU </w:t>
      </w:r>
      <w:r>
        <w:t>may</w:t>
      </w:r>
      <w:r w:rsidRPr="007D60EF">
        <w:t xml:space="preserve"> forward UHI to </w:t>
      </w:r>
      <w:r>
        <w:t>gNB-DU, so that gNB-DU can resolve ping-pong LTM cell switches. Enhance F1AP to support this.</w:t>
      </w:r>
      <w:bookmarkEnd w:id="38"/>
      <w:bookmarkEnd w:id="39"/>
      <w:bookmarkEnd w:id="40"/>
      <w:bookmarkEnd w:id="41"/>
      <w:bookmarkEnd w:id="42"/>
      <w:bookmarkEnd w:id="43"/>
    </w:p>
    <w:p w14:paraId="5C22B8B4" w14:textId="77777777" w:rsidR="000804C7" w:rsidRDefault="000804C7" w:rsidP="00460480">
      <w:pPr>
        <w:spacing w:after="0"/>
        <w:textAlignment w:val="center"/>
        <w:rPr>
          <w:rFonts w:ascii="Calibri" w:hAnsi="Calibri" w:cs="Calibri"/>
          <w:sz w:val="22"/>
          <w:szCs w:val="22"/>
          <w:lang w:eastAsia="zh-CN"/>
        </w:rPr>
      </w:pPr>
    </w:p>
    <w:p w14:paraId="1567747F" w14:textId="77777777" w:rsidR="000804C7" w:rsidRDefault="000804C7" w:rsidP="00460480">
      <w:pPr>
        <w:spacing w:after="0"/>
        <w:textAlignment w:val="center"/>
        <w:rPr>
          <w:rFonts w:ascii="Calibri" w:hAnsi="Calibri" w:cs="Calibri"/>
          <w:sz w:val="22"/>
          <w:szCs w:val="22"/>
          <w:lang w:eastAsia="zh-CN"/>
        </w:rPr>
      </w:pPr>
    </w:p>
    <w:p w14:paraId="36E12B62" w14:textId="2C122A0A" w:rsidR="00695497" w:rsidRDefault="00695497" w:rsidP="00460480">
      <w:pPr>
        <w:spacing w:after="0"/>
        <w:textAlignment w:val="center"/>
        <w:rPr>
          <w:rFonts w:ascii="Calibri" w:hAnsi="Calibri" w:cs="Calibri"/>
          <w:sz w:val="22"/>
          <w:szCs w:val="22"/>
          <w:lang w:eastAsia="zh-CN"/>
        </w:rPr>
      </w:pPr>
      <w:r>
        <w:rPr>
          <w:rFonts w:ascii="Calibri" w:hAnsi="Calibri" w:cs="Calibri"/>
          <w:sz w:val="22"/>
          <w:szCs w:val="22"/>
          <w:lang w:eastAsia="zh-CN"/>
        </w:rPr>
        <w:lastRenderedPageBreak/>
        <w:t xml:space="preserve">Upon completing LTM cell switch, gNB-DU indicates ACCESS SUCCESS message to gNB-CU. Upon receiving this, gNB-CU should </w:t>
      </w:r>
      <w:r w:rsidR="00487E65">
        <w:rPr>
          <w:rFonts w:ascii="Calibri" w:hAnsi="Calibri" w:cs="Calibri"/>
          <w:sz w:val="22"/>
          <w:szCs w:val="22"/>
          <w:lang w:eastAsia="zh-CN"/>
        </w:rPr>
        <w:t xml:space="preserve">update the UHI to include </w:t>
      </w:r>
      <w:r w:rsidR="00E63794">
        <w:rPr>
          <w:rFonts w:ascii="Calibri" w:hAnsi="Calibri" w:cs="Calibri"/>
          <w:sz w:val="22"/>
          <w:szCs w:val="22"/>
          <w:lang w:eastAsia="zh-CN"/>
        </w:rPr>
        <w:t xml:space="preserve">the cell ID, time stayed in the cell </w:t>
      </w:r>
      <w:r w:rsidR="00487E65">
        <w:rPr>
          <w:rFonts w:ascii="Calibri" w:hAnsi="Calibri" w:cs="Calibri"/>
          <w:sz w:val="22"/>
          <w:szCs w:val="22"/>
          <w:lang w:eastAsia="zh-CN"/>
        </w:rPr>
        <w:t xml:space="preserve">and add an indicator </w:t>
      </w:r>
      <w:r w:rsidR="0065511E">
        <w:rPr>
          <w:rFonts w:ascii="Calibri" w:hAnsi="Calibri" w:cs="Calibri"/>
          <w:sz w:val="22"/>
          <w:szCs w:val="22"/>
          <w:lang w:eastAsia="zh-CN"/>
        </w:rPr>
        <w:t>for the</w:t>
      </w:r>
      <w:r w:rsidR="00487E65">
        <w:rPr>
          <w:rFonts w:ascii="Calibri" w:hAnsi="Calibri" w:cs="Calibri"/>
          <w:sz w:val="22"/>
          <w:szCs w:val="22"/>
          <w:lang w:eastAsia="zh-CN"/>
        </w:rPr>
        <w:t xml:space="preserve"> “HO Type”</w:t>
      </w:r>
      <w:r w:rsidR="0065511E">
        <w:rPr>
          <w:rFonts w:ascii="Calibri" w:hAnsi="Calibri" w:cs="Calibri"/>
          <w:sz w:val="22"/>
          <w:szCs w:val="22"/>
          <w:lang w:eastAsia="zh-CN"/>
        </w:rPr>
        <w:t xml:space="preserve"> (i.e., LTM</w:t>
      </w:r>
      <w:r w:rsidR="00E63794">
        <w:rPr>
          <w:rFonts w:ascii="Calibri" w:hAnsi="Calibri" w:cs="Calibri"/>
          <w:sz w:val="22"/>
          <w:szCs w:val="22"/>
          <w:lang w:eastAsia="zh-CN"/>
        </w:rPr>
        <w:t xml:space="preserve"> or L3) to distinguish L3 and LTM cell switch.</w:t>
      </w:r>
    </w:p>
    <w:p w14:paraId="2F08AD9D" w14:textId="77777777" w:rsidR="00D15EF4" w:rsidRDefault="00D15EF4" w:rsidP="00460480">
      <w:pPr>
        <w:spacing w:after="0"/>
        <w:textAlignment w:val="center"/>
        <w:rPr>
          <w:rFonts w:ascii="Calibri" w:hAnsi="Calibri" w:cs="Calibri"/>
          <w:sz w:val="22"/>
          <w:szCs w:val="22"/>
          <w:lang w:eastAsia="zh-CN"/>
        </w:rPr>
      </w:pPr>
    </w:p>
    <w:p w14:paraId="1CAA5497" w14:textId="23F847FE" w:rsidR="00D15EF4" w:rsidRDefault="00D15EF4" w:rsidP="00D15EF4">
      <w:pPr>
        <w:spacing w:after="0"/>
        <w:textAlignment w:val="center"/>
        <w:rPr>
          <w:rFonts w:ascii="Calibri" w:hAnsi="Calibri" w:cs="Calibri"/>
          <w:sz w:val="22"/>
          <w:szCs w:val="22"/>
          <w:lang w:eastAsia="zh-CN"/>
        </w:rPr>
      </w:pPr>
      <w:r>
        <w:rPr>
          <w:rFonts w:ascii="Calibri" w:hAnsi="Calibri" w:cs="Calibri"/>
          <w:sz w:val="22"/>
          <w:szCs w:val="22"/>
          <w:lang w:eastAsia="zh-CN"/>
        </w:rPr>
        <w:t xml:space="preserve">Further, a UE supporting LTM might undergo both LTM and normal L3 HO scenarios depending on the gNB implementation. A gNB might do a back-to-back L3 HO and LTM due to L3 execution conditions being met in gNB-CU and </w:t>
      </w:r>
      <w:r w:rsidR="0029376C">
        <w:rPr>
          <w:rFonts w:ascii="Calibri" w:hAnsi="Calibri" w:cs="Calibri"/>
          <w:sz w:val="22"/>
          <w:szCs w:val="22"/>
          <w:lang w:eastAsia="zh-CN"/>
        </w:rPr>
        <w:t>L1</w:t>
      </w:r>
      <w:r>
        <w:rPr>
          <w:rFonts w:ascii="Calibri" w:hAnsi="Calibri" w:cs="Calibri"/>
          <w:sz w:val="22"/>
          <w:szCs w:val="22"/>
          <w:lang w:eastAsia="zh-CN"/>
        </w:rPr>
        <w:t xml:space="preserve"> execution condition met in gNB-DU.</w:t>
      </w:r>
    </w:p>
    <w:p w14:paraId="4D7BDF26" w14:textId="77777777" w:rsidR="00D15EF4" w:rsidRDefault="00D15EF4" w:rsidP="00D15EF4">
      <w:pPr>
        <w:spacing w:after="0"/>
        <w:textAlignment w:val="center"/>
        <w:rPr>
          <w:rFonts w:ascii="Calibri" w:hAnsi="Calibri" w:cs="Calibri"/>
          <w:sz w:val="22"/>
          <w:szCs w:val="22"/>
          <w:lang w:eastAsia="zh-CN"/>
        </w:rPr>
      </w:pPr>
    </w:p>
    <w:p w14:paraId="242C9AC9" w14:textId="77777777" w:rsidR="00D15EF4" w:rsidRDefault="00D15EF4" w:rsidP="00D15EF4">
      <w:pPr>
        <w:spacing w:after="0"/>
        <w:textAlignment w:val="center"/>
        <w:rPr>
          <w:rFonts w:ascii="Calibri" w:hAnsi="Calibri" w:cs="Calibri"/>
          <w:sz w:val="22"/>
          <w:szCs w:val="22"/>
          <w:lang w:eastAsia="zh-CN"/>
        </w:rPr>
      </w:pPr>
      <w:r>
        <w:rPr>
          <w:rFonts w:ascii="Calibri" w:hAnsi="Calibri" w:cs="Calibri"/>
          <w:sz w:val="22"/>
          <w:szCs w:val="22"/>
          <w:lang w:eastAsia="zh-CN"/>
        </w:rPr>
        <w:t>Therefore, it useful for the gNB to know whether the UE’s visited cells were due to LTM or L3 HO. Without such knowledge, the gNB might unnecessarily be trying to optimize ping-pong handovers even though they happened due to different reasons (i.e., L3 HO and LTM)</w:t>
      </w:r>
    </w:p>
    <w:p w14:paraId="5B21B3A4" w14:textId="77777777" w:rsidR="004D5E34" w:rsidRDefault="004D5E34" w:rsidP="00D15EF4">
      <w:pPr>
        <w:spacing w:after="0"/>
        <w:textAlignment w:val="center"/>
        <w:rPr>
          <w:rFonts w:ascii="Calibri" w:hAnsi="Calibri" w:cs="Calibri"/>
          <w:sz w:val="22"/>
          <w:szCs w:val="22"/>
          <w:lang w:eastAsia="zh-CN"/>
        </w:rPr>
      </w:pPr>
    </w:p>
    <w:p w14:paraId="10CA5FB7" w14:textId="77777777" w:rsidR="00D15EF4" w:rsidRDefault="00D15EF4" w:rsidP="00D15EF4">
      <w:pPr>
        <w:spacing w:after="0"/>
        <w:textAlignment w:val="center"/>
        <w:rPr>
          <w:rFonts w:ascii="Calibri" w:hAnsi="Calibri" w:cs="Calibri"/>
          <w:sz w:val="22"/>
          <w:szCs w:val="22"/>
          <w:lang w:eastAsia="zh-CN"/>
        </w:rPr>
      </w:pPr>
      <w:r>
        <w:rPr>
          <w:rFonts w:ascii="Calibri" w:hAnsi="Calibri" w:cs="Calibri"/>
          <w:sz w:val="22"/>
          <w:szCs w:val="22"/>
          <w:lang w:eastAsia="zh-CN"/>
        </w:rPr>
        <w:t xml:space="preserve">We therefore propose RAN3 to discuss how to distinguish genuine ping-pong handovers vs. back-to-back L3 HO and LTM. One solution could be to optimize the UHI to include a HO-type (i.e., LTM or L3 HO) </w:t>
      </w:r>
      <w:proofErr w:type="gramStart"/>
      <w:r>
        <w:rPr>
          <w:rFonts w:ascii="Calibri" w:hAnsi="Calibri" w:cs="Calibri"/>
          <w:sz w:val="22"/>
          <w:szCs w:val="22"/>
          <w:lang w:eastAsia="zh-CN"/>
        </w:rPr>
        <w:t>similar to</w:t>
      </w:r>
      <w:proofErr w:type="gramEnd"/>
      <w:r>
        <w:rPr>
          <w:rFonts w:ascii="Calibri" w:hAnsi="Calibri" w:cs="Calibri"/>
          <w:sz w:val="22"/>
          <w:szCs w:val="22"/>
          <w:lang w:eastAsia="zh-CN"/>
        </w:rPr>
        <w:t xml:space="preserve"> how it has been agreed by RAN2 for RLF Report.</w:t>
      </w:r>
    </w:p>
    <w:p w14:paraId="3EC6ADAC" w14:textId="77777777" w:rsidR="00D15EF4" w:rsidRDefault="00D15EF4" w:rsidP="00D15EF4">
      <w:pPr>
        <w:spacing w:after="0"/>
        <w:textAlignment w:val="center"/>
        <w:rPr>
          <w:rFonts w:ascii="Calibri" w:hAnsi="Calibri" w:cs="Calibri"/>
          <w:sz w:val="22"/>
          <w:szCs w:val="22"/>
          <w:lang w:eastAsia="zh-CN"/>
        </w:rPr>
      </w:pPr>
    </w:p>
    <w:p w14:paraId="1FDDA79F" w14:textId="664EB009" w:rsidR="00E63794" w:rsidRDefault="001827E3" w:rsidP="00A54A9D">
      <w:pPr>
        <w:pStyle w:val="PropObs"/>
      </w:pPr>
      <w:bookmarkStart w:id="44" w:name="_Toc189561066"/>
      <w:bookmarkStart w:id="45" w:name="_Toc193809402"/>
      <w:bookmarkStart w:id="46" w:name="_Toc193811267"/>
      <w:bookmarkStart w:id="47" w:name="_Toc193811335"/>
      <w:bookmarkStart w:id="48" w:name="_Toc193811397"/>
      <w:bookmarkStart w:id="49" w:name="_Toc193896322"/>
      <w:r>
        <w:t>To distinguish ping-pong handovers vs. back-to-back L3 HO and LTM</w:t>
      </w:r>
      <w:r w:rsidR="00E63794">
        <w:t xml:space="preserve">, </w:t>
      </w:r>
      <w:r w:rsidR="00826B61">
        <w:t xml:space="preserve">add an indicator </w:t>
      </w:r>
      <w:r w:rsidR="005C73E2">
        <w:t xml:space="preserve">in UHI </w:t>
      </w:r>
      <w:r>
        <w:t>to indicate t</w:t>
      </w:r>
      <w:r w:rsidR="005C73E2">
        <w:t xml:space="preserve">he “last HO Type” </w:t>
      </w:r>
      <w:bookmarkEnd w:id="44"/>
      <w:bookmarkEnd w:id="45"/>
      <w:r>
        <w:t>(L3 or LTM)</w:t>
      </w:r>
      <w:bookmarkEnd w:id="46"/>
      <w:bookmarkEnd w:id="47"/>
      <w:bookmarkEnd w:id="48"/>
      <w:bookmarkEnd w:id="49"/>
    </w:p>
    <w:p w14:paraId="2D1C3FCA" w14:textId="3FF4A6E7" w:rsidR="00695497" w:rsidRDefault="00695497" w:rsidP="00460480">
      <w:pPr>
        <w:spacing w:after="0"/>
        <w:textAlignment w:val="center"/>
        <w:rPr>
          <w:rFonts w:ascii="Calibri" w:hAnsi="Calibri" w:cs="Calibri"/>
          <w:sz w:val="22"/>
          <w:szCs w:val="22"/>
          <w:lang w:eastAsia="zh-CN"/>
        </w:rPr>
      </w:pPr>
    </w:p>
    <w:p w14:paraId="73E5BB57" w14:textId="77777777" w:rsidR="00997EAF" w:rsidRPr="00482C93" w:rsidRDefault="00997EAF" w:rsidP="00997EAF">
      <w:pPr>
        <w:pStyle w:val="Heading3"/>
        <w:spacing w:after="0"/>
        <w:textAlignment w:val="center"/>
        <w:rPr>
          <w:rFonts w:ascii="Calibri" w:hAnsi="Calibri" w:cs="Calibri"/>
          <w:sz w:val="22"/>
          <w:szCs w:val="22"/>
          <w:lang w:eastAsia="zh-CN"/>
        </w:rPr>
      </w:pPr>
      <w:r>
        <w:t>Optimizing beam information indicated in LTM CSC</w:t>
      </w:r>
    </w:p>
    <w:p w14:paraId="4F50F895" w14:textId="77777777" w:rsidR="00997EAF" w:rsidRDefault="00997EAF" w:rsidP="00997EAF">
      <w:pPr>
        <w:spacing w:after="0"/>
        <w:textAlignment w:val="center"/>
        <w:rPr>
          <w:rFonts w:ascii="Calibri" w:hAnsi="Calibri" w:cs="Calibri"/>
          <w:sz w:val="22"/>
          <w:szCs w:val="22"/>
          <w:lang w:eastAsia="zh-CN"/>
        </w:rPr>
      </w:pPr>
    </w:p>
    <w:p w14:paraId="55311672" w14:textId="74126F6D" w:rsidR="00B51B94" w:rsidRDefault="00B51B94" w:rsidP="00997EAF">
      <w:pPr>
        <w:spacing w:after="0"/>
        <w:textAlignment w:val="center"/>
        <w:rPr>
          <w:rFonts w:ascii="Calibri" w:hAnsi="Calibri" w:cs="Calibri"/>
          <w:sz w:val="22"/>
          <w:szCs w:val="22"/>
          <w:lang w:eastAsia="zh-CN"/>
        </w:rPr>
      </w:pPr>
      <w:r>
        <w:rPr>
          <w:rFonts w:ascii="Calibri" w:hAnsi="Calibri" w:cs="Calibri"/>
          <w:sz w:val="22"/>
          <w:szCs w:val="22"/>
          <w:lang w:eastAsia="zh-CN"/>
        </w:rPr>
        <w:t xml:space="preserve">RAN2 sent an LS </w:t>
      </w:r>
      <w:r w:rsidR="0043532E">
        <w:rPr>
          <w:rFonts w:ascii="Calibri" w:hAnsi="Calibri" w:cs="Calibri"/>
          <w:sz w:val="22"/>
          <w:szCs w:val="22"/>
          <w:lang w:eastAsia="zh-CN"/>
        </w:rPr>
        <w:t>to RAN3, which is copied below:</w:t>
      </w:r>
    </w:p>
    <w:p w14:paraId="3677FC78" w14:textId="77777777" w:rsidR="00B51B94" w:rsidRDefault="00B51B94" w:rsidP="00997EAF">
      <w:pPr>
        <w:spacing w:after="0"/>
        <w:textAlignment w:val="center"/>
        <w:rPr>
          <w:rFonts w:ascii="Calibri" w:hAnsi="Calibri" w:cs="Calibri"/>
          <w:sz w:val="22"/>
          <w:szCs w:val="22"/>
          <w:lang w:eastAsia="zh-CN"/>
        </w:rPr>
      </w:pPr>
    </w:p>
    <w:p w14:paraId="10ED7700" w14:textId="77777777" w:rsidR="000879FF" w:rsidRPr="000879FF"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r w:rsidRPr="000879FF">
        <w:rPr>
          <w:rFonts w:ascii="Calibri" w:hAnsi="Calibri" w:cs="Calibri"/>
          <w:sz w:val="22"/>
          <w:szCs w:val="22"/>
          <w:lang w:eastAsia="zh-CN"/>
        </w:rPr>
        <w:t xml:space="preserve">RAN2 have discussed the issues of: </w:t>
      </w:r>
    </w:p>
    <w:p w14:paraId="00FAE530" w14:textId="1F39C3BE" w:rsidR="000879FF" w:rsidRPr="004D5E34"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sz w:val="22"/>
          <w:szCs w:val="22"/>
          <w:lang w:eastAsia="zh-CN"/>
        </w:rPr>
      </w:pPr>
      <w:r w:rsidRPr="004D5E34">
        <w:rPr>
          <w:rFonts w:ascii="Calibri" w:hAnsi="Calibri" w:cs="Calibri"/>
          <w:b/>
          <w:bCs/>
          <w:sz w:val="22"/>
          <w:szCs w:val="22"/>
          <w:lang w:eastAsia="zh-CN"/>
        </w:rPr>
        <w:t>- BFR shortly after successful LTM cell switch to the wrong beam (“near failure”), and</w:t>
      </w:r>
    </w:p>
    <w:p w14:paraId="34372008" w14:textId="5CA54A9E" w:rsidR="000879FF" w:rsidRPr="004D5E34"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sz w:val="22"/>
          <w:szCs w:val="22"/>
          <w:lang w:eastAsia="zh-CN"/>
        </w:rPr>
      </w:pPr>
      <w:r w:rsidRPr="004D5E34">
        <w:rPr>
          <w:rFonts w:ascii="Calibri" w:hAnsi="Calibri" w:cs="Calibri"/>
          <w:b/>
          <w:bCs/>
          <w:sz w:val="22"/>
          <w:szCs w:val="22"/>
          <w:lang w:eastAsia="zh-CN"/>
        </w:rPr>
        <w:t xml:space="preserve">- LTM </w:t>
      </w:r>
      <w:proofErr w:type="gramStart"/>
      <w:r w:rsidRPr="004D5E34">
        <w:rPr>
          <w:rFonts w:ascii="Calibri" w:hAnsi="Calibri" w:cs="Calibri"/>
          <w:b/>
          <w:bCs/>
          <w:sz w:val="22"/>
          <w:szCs w:val="22"/>
          <w:lang w:eastAsia="zh-CN"/>
        </w:rPr>
        <w:t>cell</w:t>
      </w:r>
      <w:proofErr w:type="gramEnd"/>
      <w:r w:rsidRPr="004D5E34">
        <w:rPr>
          <w:rFonts w:ascii="Calibri" w:hAnsi="Calibri" w:cs="Calibri"/>
          <w:b/>
          <w:bCs/>
          <w:sz w:val="22"/>
          <w:szCs w:val="22"/>
          <w:lang w:eastAsia="zh-CN"/>
        </w:rPr>
        <w:t xml:space="preserve"> switch failure due to wrong beam </w:t>
      </w:r>
    </w:p>
    <w:p w14:paraId="04CF69D8" w14:textId="77777777" w:rsidR="000879FF"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p>
    <w:p w14:paraId="6A2F8B2D" w14:textId="77777777" w:rsidR="000879FF"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r w:rsidRPr="000879FF">
        <w:rPr>
          <w:rFonts w:ascii="Calibri" w:hAnsi="Calibri" w:cs="Calibri"/>
          <w:sz w:val="22"/>
          <w:szCs w:val="22"/>
          <w:lang w:eastAsia="zh-CN"/>
        </w:rPr>
        <w:t xml:space="preserve">On the former issue, RAN2 have acknowledged the issue but </w:t>
      </w:r>
      <w:r w:rsidRPr="004D5E34">
        <w:rPr>
          <w:rFonts w:ascii="Calibri" w:hAnsi="Calibri" w:cs="Calibri"/>
          <w:color w:val="FF0000"/>
          <w:sz w:val="22"/>
          <w:szCs w:val="22"/>
          <w:lang w:eastAsia="zh-CN"/>
        </w:rPr>
        <w:t>agreed not to define a UE-based solution</w:t>
      </w:r>
      <w:r w:rsidRPr="000879FF">
        <w:rPr>
          <w:rFonts w:ascii="Calibri" w:hAnsi="Calibri" w:cs="Calibri"/>
          <w:sz w:val="22"/>
          <w:szCs w:val="22"/>
          <w:lang w:eastAsia="zh-CN"/>
        </w:rPr>
        <w:t xml:space="preserve">. </w:t>
      </w:r>
    </w:p>
    <w:p w14:paraId="0D7DBB83" w14:textId="77777777" w:rsidR="000879FF"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p>
    <w:p w14:paraId="41D49239" w14:textId="3CFB3DC6" w:rsidR="000879FF"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r w:rsidRPr="000879FF">
        <w:rPr>
          <w:rFonts w:ascii="Calibri" w:hAnsi="Calibri" w:cs="Calibri"/>
          <w:sz w:val="22"/>
          <w:szCs w:val="22"/>
          <w:lang w:eastAsia="zh-CN"/>
        </w:rPr>
        <w:t xml:space="preserve">RAN2 respectfully asks RAN3 to consider </w:t>
      </w:r>
      <w:r w:rsidRPr="004D5E34">
        <w:rPr>
          <w:rFonts w:ascii="Calibri" w:hAnsi="Calibri" w:cs="Calibri"/>
          <w:color w:val="00B050"/>
          <w:sz w:val="22"/>
          <w:szCs w:val="22"/>
          <w:lang w:eastAsia="zh-CN"/>
        </w:rPr>
        <w:t>defining a network-based solution for this</w:t>
      </w:r>
      <w:r w:rsidRPr="000879FF">
        <w:rPr>
          <w:rFonts w:ascii="Calibri" w:hAnsi="Calibri" w:cs="Calibri"/>
          <w:sz w:val="22"/>
          <w:szCs w:val="22"/>
          <w:lang w:eastAsia="zh-CN"/>
        </w:rPr>
        <w:t>.</w:t>
      </w:r>
    </w:p>
    <w:p w14:paraId="6351A6D7" w14:textId="77777777" w:rsidR="000879FF" w:rsidRPr="000879FF"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p>
    <w:p w14:paraId="12FA6658" w14:textId="77777777" w:rsidR="000879FF" w:rsidRPr="000879FF"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r w:rsidRPr="000879FF">
        <w:rPr>
          <w:rFonts w:ascii="Calibri" w:hAnsi="Calibri" w:cs="Calibri"/>
          <w:sz w:val="22"/>
          <w:szCs w:val="22"/>
          <w:lang w:eastAsia="zh-CN"/>
        </w:rPr>
        <w:t xml:space="preserve">Furthermore, RAN2 asks RAN3 to see </w:t>
      </w:r>
      <w:r w:rsidRPr="004D5E34">
        <w:rPr>
          <w:rFonts w:ascii="Calibri" w:hAnsi="Calibri" w:cs="Calibri"/>
          <w:b/>
          <w:bCs/>
          <w:sz w:val="22"/>
          <w:szCs w:val="22"/>
          <w:lang w:eastAsia="zh-CN"/>
        </w:rPr>
        <w:t>if/how the solution (if specified) could also be used for the latter issue.</w:t>
      </w:r>
    </w:p>
    <w:p w14:paraId="304787F7" w14:textId="77777777" w:rsidR="000879FF"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p>
    <w:p w14:paraId="2B3500A8" w14:textId="2B8F3741" w:rsidR="000879FF" w:rsidRPr="000879FF"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r w:rsidRPr="000879FF">
        <w:rPr>
          <w:rFonts w:ascii="Calibri" w:hAnsi="Calibri" w:cs="Calibri"/>
          <w:sz w:val="22"/>
          <w:szCs w:val="22"/>
          <w:lang w:eastAsia="zh-CN"/>
        </w:rPr>
        <w:t xml:space="preserve">RAN2 respectfully asks RAN3 to consider defining a </w:t>
      </w:r>
      <w:r w:rsidRPr="004D5E34">
        <w:rPr>
          <w:rFonts w:ascii="Calibri" w:hAnsi="Calibri" w:cs="Calibri"/>
          <w:color w:val="00B050"/>
          <w:sz w:val="22"/>
          <w:szCs w:val="22"/>
          <w:lang w:eastAsia="zh-CN"/>
        </w:rPr>
        <w:t xml:space="preserve">network-based solution for the issue of BFR shortly after successful LTM cell switch (“near failure”). </w:t>
      </w:r>
    </w:p>
    <w:p w14:paraId="4F304542" w14:textId="77777777" w:rsidR="000879FF"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p>
    <w:p w14:paraId="64F65F17" w14:textId="4337CFEB" w:rsidR="00B51B94" w:rsidRDefault="000879FF" w:rsidP="000879F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eastAsia="zh-CN"/>
        </w:rPr>
      </w:pPr>
      <w:r w:rsidRPr="000879FF">
        <w:rPr>
          <w:rFonts w:ascii="Calibri" w:hAnsi="Calibri" w:cs="Calibri"/>
          <w:sz w:val="22"/>
          <w:szCs w:val="22"/>
          <w:lang w:eastAsia="zh-CN"/>
        </w:rPr>
        <w:t>Furthermore, RAN2 asks RAN3 to see if/how the solution (if specified) could also be used for the case of LTM cell switch failure due to wrong beam.</w:t>
      </w:r>
    </w:p>
    <w:p w14:paraId="715566FD" w14:textId="77777777" w:rsidR="00B51B94" w:rsidRDefault="00B51B94" w:rsidP="00997EAF">
      <w:pPr>
        <w:spacing w:after="0"/>
        <w:textAlignment w:val="center"/>
        <w:rPr>
          <w:rFonts w:ascii="Calibri" w:hAnsi="Calibri" w:cs="Calibri"/>
          <w:sz w:val="22"/>
          <w:szCs w:val="22"/>
          <w:lang w:eastAsia="zh-CN"/>
        </w:rPr>
      </w:pPr>
    </w:p>
    <w:p w14:paraId="705D4F42" w14:textId="5736EE00" w:rsidR="00997EAF" w:rsidRDefault="00997EAF" w:rsidP="00997EAF">
      <w:pPr>
        <w:spacing w:after="0"/>
        <w:textAlignment w:val="center"/>
        <w:rPr>
          <w:rFonts w:ascii="Calibri" w:hAnsi="Calibri" w:cs="Calibri"/>
          <w:sz w:val="22"/>
          <w:szCs w:val="22"/>
          <w:lang w:eastAsia="zh-CN"/>
        </w:rPr>
      </w:pPr>
      <w:r>
        <w:rPr>
          <w:rFonts w:ascii="Calibri" w:hAnsi="Calibri" w:cs="Calibri"/>
          <w:sz w:val="22"/>
          <w:szCs w:val="22"/>
          <w:lang w:eastAsia="zh-CN"/>
        </w:rPr>
        <w:t>From TS 38.300,</w:t>
      </w:r>
    </w:p>
    <w:p w14:paraId="46B67CBB" w14:textId="77777777" w:rsidR="00997EAF" w:rsidRDefault="00997EAF" w:rsidP="00997EAF">
      <w:pPr>
        <w:spacing w:after="0"/>
        <w:textAlignment w:val="center"/>
        <w:rPr>
          <w:rFonts w:ascii="Calibri" w:hAnsi="Calibri" w:cs="Calibri"/>
          <w:sz w:val="22"/>
          <w:szCs w:val="22"/>
          <w:lang w:eastAsia="zh-CN"/>
        </w:rPr>
      </w:pPr>
    </w:p>
    <w:p w14:paraId="61DBDF2F" w14:textId="77777777" w:rsidR="00997EAF" w:rsidRDefault="00997EAF" w:rsidP="00997EAF">
      <w:pPr>
        <w:pStyle w:val="B1"/>
        <w:spacing w:after="120"/>
        <w:ind w:left="284" w:firstLine="0"/>
      </w:pPr>
      <w:r w:rsidRPr="002D204C">
        <w:t xml:space="preserve">The gNB-DU decides to execute cell switch to a target cell and transmits an LTM cell switch command MAC CE triggering cell switch by including a target configuration ID which indicates the index of the candidate configuration of the target cell, </w:t>
      </w:r>
      <w:r w:rsidRPr="002D204C">
        <w:rPr>
          <w:highlight w:val="yellow"/>
        </w:rPr>
        <w:t>a beam indicated with a TCI state, or beams indicated with DL and UL TCI states</w:t>
      </w:r>
      <w:r w:rsidRPr="002D204C">
        <w:t>, and a timing advance command for the target cell, if available.</w:t>
      </w:r>
      <w:r w:rsidRPr="00C57EBD">
        <w:t xml:space="preserve"> </w:t>
      </w:r>
    </w:p>
    <w:p w14:paraId="4B0DF254" w14:textId="77777777" w:rsidR="00997EAF" w:rsidRDefault="00997EAF" w:rsidP="00997EAF">
      <w:pPr>
        <w:spacing w:after="0"/>
        <w:textAlignment w:val="center"/>
        <w:rPr>
          <w:rFonts w:ascii="Calibri" w:hAnsi="Calibri" w:cs="Calibri"/>
          <w:sz w:val="22"/>
          <w:szCs w:val="22"/>
          <w:lang w:eastAsia="zh-CN"/>
        </w:rPr>
      </w:pPr>
    </w:p>
    <w:p w14:paraId="71165BB3" w14:textId="77777777" w:rsidR="00997EAF" w:rsidRDefault="00997EAF" w:rsidP="00997EAF">
      <w:pPr>
        <w:spacing w:after="0"/>
        <w:textAlignment w:val="center"/>
        <w:rPr>
          <w:rFonts w:ascii="Calibri" w:hAnsi="Calibri" w:cs="Calibri"/>
          <w:sz w:val="22"/>
          <w:szCs w:val="22"/>
          <w:lang w:eastAsia="zh-CN"/>
        </w:rPr>
      </w:pPr>
      <w:r>
        <w:rPr>
          <w:rFonts w:ascii="Calibri" w:hAnsi="Calibri" w:cs="Calibri"/>
          <w:sz w:val="22"/>
          <w:szCs w:val="22"/>
          <w:lang w:eastAsia="zh-CN"/>
        </w:rPr>
        <w:t xml:space="preserve">As mentioned above, the </w:t>
      </w:r>
      <w:r w:rsidRPr="00453A30">
        <w:rPr>
          <w:rFonts w:ascii="Calibri" w:hAnsi="Calibri" w:cs="Calibri"/>
          <w:sz w:val="22"/>
          <w:szCs w:val="22"/>
          <w:lang w:eastAsia="zh-CN"/>
        </w:rPr>
        <w:t xml:space="preserve">gNB-DU </w:t>
      </w:r>
      <w:r>
        <w:rPr>
          <w:rFonts w:ascii="Calibri" w:hAnsi="Calibri" w:cs="Calibri"/>
          <w:sz w:val="22"/>
          <w:szCs w:val="22"/>
          <w:lang w:eastAsia="zh-CN"/>
        </w:rPr>
        <w:t xml:space="preserve">can indicate beam information (TCI state ID, UL TCI state ID) in LTM cell switch command MAC CE to the UE. </w:t>
      </w:r>
    </w:p>
    <w:p w14:paraId="01C8E468" w14:textId="77777777" w:rsidR="00997EAF" w:rsidRDefault="00997EAF" w:rsidP="00997EAF">
      <w:pPr>
        <w:spacing w:after="0"/>
        <w:textAlignment w:val="center"/>
        <w:rPr>
          <w:rFonts w:ascii="Calibri" w:hAnsi="Calibri" w:cs="Calibri"/>
          <w:sz w:val="22"/>
          <w:szCs w:val="22"/>
          <w:lang w:eastAsia="zh-CN"/>
        </w:rPr>
      </w:pPr>
    </w:p>
    <w:p w14:paraId="12EF1F5C" w14:textId="77777777" w:rsidR="00997EAF" w:rsidRDefault="00997EAF" w:rsidP="00997EAF">
      <w:pPr>
        <w:spacing w:after="0"/>
        <w:textAlignment w:val="center"/>
        <w:rPr>
          <w:rFonts w:ascii="Calibri" w:hAnsi="Calibri" w:cs="Calibri"/>
          <w:sz w:val="22"/>
          <w:szCs w:val="22"/>
          <w:lang w:eastAsia="zh-CN"/>
        </w:rPr>
      </w:pPr>
      <w:r>
        <w:rPr>
          <w:rFonts w:ascii="Calibri" w:hAnsi="Calibri" w:cs="Calibri"/>
          <w:sz w:val="22"/>
          <w:szCs w:val="22"/>
          <w:lang w:eastAsia="zh-CN"/>
        </w:rPr>
        <w:lastRenderedPageBreak/>
        <w:t xml:space="preserve">The UE can use this information during LTM execution e.g., </w:t>
      </w:r>
      <w:r w:rsidRPr="00453A30">
        <w:rPr>
          <w:rFonts w:ascii="Calibri" w:hAnsi="Calibri" w:cs="Calibri"/>
          <w:sz w:val="22"/>
          <w:szCs w:val="22"/>
          <w:lang w:eastAsia="zh-CN"/>
        </w:rPr>
        <w:t>consider</w:t>
      </w:r>
      <w:r>
        <w:rPr>
          <w:rFonts w:ascii="Calibri" w:hAnsi="Calibri" w:cs="Calibri"/>
          <w:sz w:val="22"/>
          <w:szCs w:val="22"/>
          <w:lang w:eastAsia="zh-CN"/>
        </w:rPr>
        <w:t>s</w:t>
      </w:r>
      <w:r w:rsidRPr="00453A30">
        <w:rPr>
          <w:rFonts w:ascii="Calibri" w:hAnsi="Calibri" w:cs="Calibri"/>
          <w:sz w:val="22"/>
          <w:szCs w:val="22"/>
          <w:lang w:eastAsia="zh-CN"/>
        </w:rPr>
        <w:t xml:space="preserve"> the SSB associated to the TCI state indicated by TCI state ID field as the one used for configured uplink grant selection for the initial uplink transmission towards the candidate cell </w:t>
      </w:r>
      <w:r>
        <w:rPr>
          <w:rFonts w:ascii="Calibri" w:hAnsi="Calibri" w:cs="Calibri"/>
          <w:sz w:val="22"/>
          <w:szCs w:val="22"/>
          <w:lang w:eastAsia="zh-CN"/>
        </w:rPr>
        <w:t>during</w:t>
      </w:r>
      <w:r w:rsidRPr="00453A30">
        <w:rPr>
          <w:rFonts w:ascii="Calibri" w:hAnsi="Calibri" w:cs="Calibri"/>
          <w:sz w:val="22"/>
          <w:szCs w:val="22"/>
          <w:lang w:eastAsia="zh-CN"/>
        </w:rPr>
        <w:t xml:space="preserve"> RACH-less LTM cell switch</w:t>
      </w:r>
      <w:r>
        <w:rPr>
          <w:rFonts w:ascii="Calibri" w:hAnsi="Calibri" w:cs="Calibri"/>
          <w:sz w:val="22"/>
          <w:szCs w:val="22"/>
          <w:lang w:eastAsia="zh-CN"/>
        </w:rPr>
        <w:t>.</w:t>
      </w:r>
    </w:p>
    <w:p w14:paraId="7A92BB07" w14:textId="77777777" w:rsidR="00997EAF" w:rsidRPr="00453A30" w:rsidRDefault="00997EAF" w:rsidP="00997EAF">
      <w:pPr>
        <w:spacing w:after="0"/>
        <w:textAlignment w:val="center"/>
        <w:rPr>
          <w:rFonts w:ascii="Calibri" w:hAnsi="Calibri" w:cs="Calibri"/>
          <w:sz w:val="22"/>
          <w:szCs w:val="22"/>
          <w:lang w:eastAsia="zh-CN"/>
        </w:rPr>
      </w:pPr>
    </w:p>
    <w:p w14:paraId="6A1DEBA2" w14:textId="7FDC3408" w:rsidR="00997EAF" w:rsidRDefault="00997EAF" w:rsidP="00997EAF">
      <w:pPr>
        <w:spacing w:after="0"/>
        <w:textAlignment w:val="center"/>
        <w:rPr>
          <w:rFonts w:ascii="Calibri" w:hAnsi="Calibri" w:cs="Calibri"/>
          <w:sz w:val="22"/>
          <w:szCs w:val="22"/>
          <w:lang w:eastAsia="zh-CN"/>
        </w:rPr>
      </w:pPr>
      <w:r>
        <w:rPr>
          <w:rFonts w:ascii="Calibri" w:hAnsi="Calibri" w:cs="Calibri"/>
          <w:sz w:val="22"/>
          <w:szCs w:val="22"/>
          <w:lang w:eastAsia="zh-CN"/>
        </w:rPr>
        <w:t>It is possible that the gNB-DU might not have indicated the right TCI state ID and therefore the UE might have used the wrong one thereby resulting in</w:t>
      </w:r>
      <w:r w:rsidR="004F2B30">
        <w:rPr>
          <w:rFonts w:ascii="Calibri" w:hAnsi="Calibri" w:cs="Calibri"/>
          <w:sz w:val="22"/>
          <w:szCs w:val="22"/>
          <w:lang w:eastAsia="zh-CN"/>
        </w:rPr>
        <w:t xml:space="preserve"> a near failure</w:t>
      </w:r>
      <w:r>
        <w:rPr>
          <w:rFonts w:ascii="Calibri" w:hAnsi="Calibri" w:cs="Calibri"/>
          <w:sz w:val="22"/>
          <w:szCs w:val="22"/>
          <w:lang w:eastAsia="zh-CN"/>
        </w:rPr>
        <w:t xml:space="preserve"> LTM cell switch failure. We propose the following</w:t>
      </w:r>
      <w:r w:rsidR="004F2B30">
        <w:rPr>
          <w:rFonts w:ascii="Calibri" w:hAnsi="Calibri" w:cs="Calibri"/>
          <w:sz w:val="22"/>
          <w:szCs w:val="22"/>
          <w:lang w:eastAsia="zh-CN"/>
        </w:rPr>
        <w:t xml:space="preserve"> </w:t>
      </w:r>
      <w:r w:rsidR="00E27614">
        <w:rPr>
          <w:rFonts w:ascii="Calibri" w:hAnsi="Calibri" w:cs="Calibri"/>
          <w:sz w:val="22"/>
          <w:szCs w:val="22"/>
          <w:lang w:eastAsia="zh-CN"/>
        </w:rPr>
        <w:t>network-based</w:t>
      </w:r>
      <w:r w:rsidR="004F2B30">
        <w:rPr>
          <w:rFonts w:ascii="Calibri" w:hAnsi="Calibri" w:cs="Calibri"/>
          <w:sz w:val="22"/>
          <w:szCs w:val="22"/>
          <w:lang w:eastAsia="zh-CN"/>
        </w:rPr>
        <w:t xml:space="preserve"> solution for obtaining the knowledge of the “recovered beam” or “reconnected beam”</w:t>
      </w:r>
      <w:r w:rsidR="00E27614">
        <w:rPr>
          <w:rFonts w:ascii="Calibri" w:hAnsi="Calibri" w:cs="Calibri"/>
          <w:sz w:val="22"/>
          <w:szCs w:val="22"/>
          <w:lang w:eastAsia="zh-CN"/>
        </w:rPr>
        <w:t>.</w:t>
      </w:r>
    </w:p>
    <w:p w14:paraId="18E59BDE" w14:textId="77777777" w:rsidR="00997EAF" w:rsidRDefault="00997EAF" w:rsidP="00997EAF">
      <w:pPr>
        <w:spacing w:after="0"/>
        <w:textAlignment w:val="center"/>
        <w:rPr>
          <w:rFonts w:ascii="Calibri" w:hAnsi="Calibri" w:cs="Calibri"/>
          <w:sz w:val="22"/>
          <w:szCs w:val="22"/>
          <w:lang w:eastAsia="zh-CN"/>
        </w:rPr>
      </w:pPr>
    </w:p>
    <w:p w14:paraId="25BDEE7F" w14:textId="0D91EDEC" w:rsidR="007B7E67" w:rsidRPr="007B7E67" w:rsidRDefault="007B7E67" w:rsidP="007B7E67">
      <w:pPr>
        <w:pStyle w:val="PropObs"/>
      </w:pPr>
      <w:bookmarkStart w:id="50" w:name="_Toc193811268"/>
      <w:bookmarkStart w:id="51" w:name="_Toc193811336"/>
      <w:bookmarkStart w:id="52" w:name="_Toc193811398"/>
      <w:bookmarkStart w:id="53" w:name="_Toc193896323"/>
      <w:r w:rsidRPr="007B7E67">
        <w:t>In case there is a beam failure shortly after a successful RACH-less LTM cell switch and UE successfully performs BFR in another beam, target gNB-DU can indicate the "recovered beam ID" to the source gNB-DU via the gNB-CU.</w:t>
      </w:r>
      <w:bookmarkEnd w:id="50"/>
      <w:bookmarkEnd w:id="51"/>
      <w:bookmarkEnd w:id="52"/>
      <w:bookmarkEnd w:id="53"/>
    </w:p>
    <w:p w14:paraId="02734254" w14:textId="77777777" w:rsidR="007B7E67" w:rsidRPr="007B7E67" w:rsidRDefault="007B7E67" w:rsidP="007B7E67">
      <w:pPr>
        <w:spacing w:after="0"/>
        <w:textAlignment w:val="center"/>
        <w:rPr>
          <w:rFonts w:ascii="Calibri" w:hAnsi="Calibri" w:cs="Calibri"/>
          <w:sz w:val="22"/>
          <w:szCs w:val="22"/>
          <w:lang w:eastAsia="zh-CN"/>
        </w:rPr>
      </w:pPr>
    </w:p>
    <w:p w14:paraId="1AC4345F" w14:textId="77008611" w:rsidR="007B7E67" w:rsidRPr="007B7E67" w:rsidRDefault="007B7E67" w:rsidP="00BF5333">
      <w:pPr>
        <w:pStyle w:val="PropObs"/>
      </w:pPr>
      <w:bookmarkStart w:id="54" w:name="_Toc193811269"/>
      <w:bookmarkStart w:id="55" w:name="_Toc193811337"/>
      <w:bookmarkStart w:id="56" w:name="_Toc193811399"/>
      <w:bookmarkStart w:id="57" w:name="_Toc193896324"/>
      <w:r w:rsidRPr="007B7E67">
        <w:t>In case there is a RLF after receiving a</w:t>
      </w:r>
      <w:r w:rsidR="00BF5333">
        <w:t>n</w:t>
      </w:r>
      <w:r w:rsidRPr="007B7E67">
        <w:t xml:space="preserve"> LTM CSC and the UE reconnects in the same target cell but in a beam different from the one indicated in LTM CSC,</w:t>
      </w:r>
      <w:r w:rsidR="00BF5333">
        <w:t xml:space="preserve"> </w:t>
      </w:r>
      <w:r w:rsidRPr="007B7E67">
        <w:t>target gNB-DU can indicate the "reconnected beam ID" to the source gNB-DU via the gNB-CU</w:t>
      </w:r>
      <w:bookmarkEnd w:id="54"/>
      <w:bookmarkEnd w:id="55"/>
      <w:bookmarkEnd w:id="56"/>
      <w:bookmarkEnd w:id="57"/>
    </w:p>
    <w:p w14:paraId="7419E3E9" w14:textId="77777777" w:rsidR="007B7E67" w:rsidRPr="00BF5333" w:rsidRDefault="007B7E67" w:rsidP="007B7E67">
      <w:pPr>
        <w:spacing w:after="0"/>
        <w:textAlignment w:val="center"/>
        <w:rPr>
          <w:rFonts w:ascii="Calibri" w:hAnsi="Calibri" w:cs="Calibri"/>
          <w:sz w:val="22"/>
          <w:szCs w:val="22"/>
          <w:lang w:val="en-US" w:eastAsia="zh-CN"/>
        </w:rPr>
      </w:pPr>
    </w:p>
    <w:p w14:paraId="399B6321" w14:textId="1FD54B6D" w:rsidR="007B7E67" w:rsidRDefault="007B7E67" w:rsidP="00BF5333">
      <w:pPr>
        <w:pStyle w:val="PropObs"/>
      </w:pPr>
      <w:bookmarkStart w:id="58" w:name="_Toc193811270"/>
      <w:bookmarkStart w:id="59" w:name="_Toc193811338"/>
      <w:bookmarkStart w:id="60" w:name="_Toc193811400"/>
      <w:bookmarkStart w:id="61" w:name="_Toc193896325"/>
      <w:r w:rsidRPr="007B7E67">
        <w:t>Reply to RAN2 that RAN3 have agreed on a NW based solution to optimize indicated beam information for both "near failure" and "LTM cell switch failure"</w:t>
      </w:r>
      <w:bookmarkEnd w:id="58"/>
      <w:bookmarkEnd w:id="59"/>
      <w:bookmarkEnd w:id="60"/>
      <w:bookmarkEnd w:id="61"/>
    </w:p>
    <w:p w14:paraId="1233AA52" w14:textId="77777777" w:rsidR="007B7E67" w:rsidRDefault="007B7E67" w:rsidP="00997EAF">
      <w:pPr>
        <w:spacing w:after="0"/>
        <w:textAlignment w:val="center"/>
        <w:rPr>
          <w:rFonts w:ascii="Calibri" w:hAnsi="Calibri" w:cs="Calibri"/>
          <w:sz w:val="22"/>
          <w:szCs w:val="22"/>
          <w:lang w:eastAsia="zh-CN"/>
        </w:rPr>
      </w:pPr>
    </w:p>
    <w:p w14:paraId="5E308DA4" w14:textId="1B7B9A2B" w:rsidR="002C62D7" w:rsidRDefault="002C62D7" w:rsidP="002C62D7">
      <w:pPr>
        <w:pStyle w:val="Heading2"/>
        <w:numPr>
          <w:ilvl w:val="1"/>
          <w:numId w:val="0"/>
        </w:numPr>
        <w:rPr>
          <w:rFonts w:ascii="Calibri" w:hAnsi="Calibri" w:cs="Calibri"/>
          <w:sz w:val="22"/>
          <w:szCs w:val="22"/>
          <w:lang w:eastAsia="zh-CN"/>
        </w:rPr>
      </w:pPr>
      <w:bookmarkStart w:id="62" w:name="_Toc178770637"/>
      <w:bookmarkStart w:id="63" w:name="_Toc181718214"/>
      <w:bookmarkStart w:id="64" w:name="_Toc181795628"/>
      <w:bookmarkStart w:id="65" w:name="_Toc189561077"/>
      <w:bookmarkStart w:id="66" w:name="_Toc193809405"/>
      <w:bookmarkStart w:id="67" w:name="_Toc193811271"/>
      <w:bookmarkStart w:id="68" w:name="_Toc193811339"/>
      <w:bookmarkStart w:id="69" w:name="_Toc193811401"/>
      <w:bookmarkStart w:id="70" w:name="_Toc193896326"/>
      <w:r>
        <w:t>2.</w:t>
      </w:r>
      <w:r w:rsidR="00807971">
        <w:t>2</w:t>
      </w:r>
      <w:r>
        <w:t xml:space="preserve"> </w:t>
      </w:r>
      <w:r w:rsidRPr="00681D08">
        <w:t xml:space="preserve">MRO for </w:t>
      </w:r>
      <w:r>
        <w:t>CHO with candidate SCG</w:t>
      </w:r>
      <w:bookmarkEnd w:id="62"/>
      <w:bookmarkEnd w:id="63"/>
      <w:bookmarkEnd w:id="64"/>
      <w:bookmarkEnd w:id="65"/>
      <w:bookmarkEnd w:id="66"/>
      <w:bookmarkEnd w:id="67"/>
      <w:bookmarkEnd w:id="68"/>
      <w:bookmarkEnd w:id="69"/>
      <w:bookmarkEnd w:id="70"/>
    </w:p>
    <w:p w14:paraId="07B6ACCA" w14:textId="77777777" w:rsidR="002C62D7" w:rsidRDefault="002C62D7" w:rsidP="002C62D7">
      <w:pPr>
        <w:rPr>
          <w:rFonts w:ascii="Calibri" w:hAnsi="Calibri" w:cs="Calibri"/>
          <w:sz w:val="22"/>
          <w:szCs w:val="22"/>
          <w:lang w:eastAsia="zh-CN"/>
        </w:rPr>
      </w:pPr>
    </w:p>
    <w:p w14:paraId="7B69B2DD" w14:textId="79B5A7EE" w:rsidR="00183E84" w:rsidRPr="00183E84" w:rsidRDefault="00183E84" w:rsidP="00516F7D">
      <w:pPr>
        <w:rPr>
          <w:rFonts w:asciiTheme="minorHAnsi" w:hAnsiTheme="minorHAnsi" w:cstheme="minorHAnsi"/>
          <w:sz w:val="22"/>
          <w:szCs w:val="22"/>
        </w:rPr>
      </w:pPr>
      <w:r w:rsidRPr="00183E84">
        <w:rPr>
          <w:rFonts w:asciiTheme="minorHAnsi" w:hAnsiTheme="minorHAnsi" w:cstheme="minorHAnsi"/>
          <w:sz w:val="22"/>
          <w:szCs w:val="22"/>
        </w:rPr>
        <w:t xml:space="preserve">The following was agreed in the </w:t>
      </w:r>
      <w:r w:rsidR="004C6C7A">
        <w:rPr>
          <w:rFonts w:asciiTheme="minorHAnsi" w:hAnsiTheme="minorHAnsi" w:cstheme="minorHAnsi"/>
          <w:sz w:val="22"/>
          <w:szCs w:val="22"/>
        </w:rPr>
        <w:t>RAN3#126</w:t>
      </w:r>
      <w:r w:rsidRPr="00183E84">
        <w:rPr>
          <w:rFonts w:asciiTheme="minorHAnsi" w:hAnsiTheme="minorHAnsi" w:cstheme="minorHAnsi"/>
          <w:sz w:val="22"/>
          <w:szCs w:val="22"/>
        </w:rPr>
        <w:t>:</w:t>
      </w:r>
    </w:p>
    <w:p w14:paraId="195E66A9" w14:textId="77777777" w:rsidR="00183E84"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The failure types defined for CHO in TS 38.300 and for CPAC defined in TS 37.340 are used as baseline. Clarification or amendment could be made on top of that if needed</w:t>
      </w:r>
    </w:p>
    <w:p w14:paraId="55951E16" w14:textId="77777777" w:rsidR="00183E84"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 xml:space="preserve">The cases identified for MRO for CHO with candidate SCG were classified as follow: </w:t>
      </w:r>
    </w:p>
    <w:p w14:paraId="54B010C7" w14:textId="3DBAC46F" w:rsidR="00183E84"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Case 1a), 2a), 3a), 9a): Too late handover</w:t>
      </w:r>
      <w:r w:rsidR="005B1C19">
        <w:rPr>
          <w:rFonts w:asciiTheme="minorHAnsi" w:hAnsiTheme="minorHAnsi" w:cstheme="minorHAnsi"/>
          <w:sz w:val="22"/>
          <w:szCs w:val="22"/>
        </w:rPr>
        <w:t xml:space="preserve"> (i.e., Too late CHO execution)</w:t>
      </w:r>
    </w:p>
    <w:p w14:paraId="01807385" w14:textId="77777777" w:rsidR="00183E84"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Case 1b), 2b), 3b), 9b): Too late CPC execution</w:t>
      </w:r>
    </w:p>
    <w:p w14:paraId="37DC64E6" w14:textId="26E975C5" w:rsidR="00183E84"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Case 7a), 8a): Too early HO</w:t>
      </w:r>
      <w:r w:rsidR="005B1C19">
        <w:rPr>
          <w:rFonts w:asciiTheme="minorHAnsi" w:hAnsiTheme="minorHAnsi" w:cstheme="minorHAnsi"/>
          <w:sz w:val="22"/>
          <w:szCs w:val="22"/>
        </w:rPr>
        <w:t xml:space="preserve"> (i.e. Too early CHO </w:t>
      </w:r>
      <w:r w:rsidR="004B77F9">
        <w:rPr>
          <w:rFonts w:asciiTheme="minorHAnsi" w:hAnsiTheme="minorHAnsi" w:cstheme="minorHAnsi"/>
          <w:sz w:val="22"/>
          <w:szCs w:val="22"/>
        </w:rPr>
        <w:t>execution)</w:t>
      </w:r>
      <w:r w:rsidRPr="00183E84">
        <w:rPr>
          <w:rFonts w:asciiTheme="minorHAnsi" w:hAnsiTheme="minorHAnsi" w:cstheme="minorHAnsi"/>
          <w:sz w:val="22"/>
          <w:szCs w:val="22"/>
        </w:rPr>
        <w:t xml:space="preserve"> or Handover</w:t>
      </w:r>
      <w:r w:rsidR="004B77F9">
        <w:rPr>
          <w:rFonts w:asciiTheme="minorHAnsi" w:hAnsiTheme="minorHAnsi" w:cstheme="minorHAnsi"/>
          <w:sz w:val="22"/>
          <w:szCs w:val="22"/>
        </w:rPr>
        <w:t xml:space="preserve"> (i.e. CHO execution)</w:t>
      </w:r>
      <w:r w:rsidRPr="00183E84">
        <w:rPr>
          <w:rFonts w:asciiTheme="minorHAnsi" w:hAnsiTheme="minorHAnsi" w:cstheme="minorHAnsi"/>
          <w:sz w:val="22"/>
          <w:szCs w:val="22"/>
        </w:rPr>
        <w:t xml:space="preserve"> to wrong cell</w:t>
      </w:r>
    </w:p>
    <w:p w14:paraId="2AEA0EE3" w14:textId="72066F04" w:rsidR="000D0020"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 xml:space="preserve">Case 7b), 8b): Too Early CPC/CPA Execution or CPC/CPA Execution to wrong </w:t>
      </w:r>
      <w:proofErr w:type="spellStart"/>
      <w:r w:rsidRPr="00183E84">
        <w:rPr>
          <w:rFonts w:asciiTheme="minorHAnsi" w:hAnsiTheme="minorHAnsi" w:cstheme="minorHAnsi"/>
          <w:sz w:val="22"/>
          <w:szCs w:val="22"/>
        </w:rPr>
        <w:t>PSCell</w:t>
      </w:r>
      <w:proofErr w:type="spellEnd"/>
    </w:p>
    <w:p w14:paraId="531AC08C" w14:textId="77777777" w:rsidR="00183E84" w:rsidRDefault="00183E84" w:rsidP="00516F7D">
      <w:pPr>
        <w:rPr>
          <w:rFonts w:asciiTheme="minorHAnsi" w:hAnsiTheme="minorHAnsi" w:cstheme="minorHAnsi"/>
          <w:sz w:val="22"/>
          <w:szCs w:val="22"/>
        </w:rPr>
      </w:pPr>
    </w:p>
    <w:p w14:paraId="1DFEDBD4" w14:textId="3155A41C" w:rsidR="00215BBF" w:rsidRDefault="00215BBF" w:rsidP="00215BBF">
      <w:pPr>
        <w:pStyle w:val="Heading3"/>
        <w:numPr>
          <w:ilvl w:val="0"/>
          <w:numId w:val="0"/>
        </w:numPr>
      </w:pPr>
      <w:r>
        <w:t xml:space="preserve">2.2.1 </w:t>
      </w:r>
      <w:r w:rsidR="000D7A66">
        <w:t>SCG Failure</w:t>
      </w:r>
      <w:r>
        <w:t xml:space="preserve"> when UE is configured with CHO with candidate SCG</w:t>
      </w:r>
    </w:p>
    <w:p w14:paraId="730EE89E" w14:textId="77777777" w:rsidR="00215BBF" w:rsidRPr="00215BBF" w:rsidRDefault="00215BBF" w:rsidP="00A54A9D">
      <w:pPr>
        <w:pStyle w:val="PropObs"/>
        <w:numPr>
          <w:ilvl w:val="0"/>
          <w:numId w:val="0"/>
        </w:numPr>
        <w:rPr>
          <w:lang w:val="en-GB"/>
        </w:rPr>
      </w:pPr>
    </w:p>
    <w:p w14:paraId="00F7A041" w14:textId="77777777" w:rsidR="0057381D" w:rsidRDefault="0057381D" w:rsidP="0057381D">
      <w:pPr>
        <w:rPr>
          <w:rFonts w:asciiTheme="minorHAnsi" w:hAnsiTheme="minorHAnsi" w:cstheme="minorHAnsi"/>
          <w:sz w:val="22"/>
          <w:szCs w:val="22"/>
        </w:rPr>
      </w:pPr>
      <w:bookmarkStart w:id="71" w:name="_Toc189561083"/>
      <w:bookmarkStart w:id="72" w:name="_Toc193809408"/>
      <w:r>
        <w:rPr>
          <w:rFonts w:asciiTheme="minorHAnsi" w:hAnsiTheme="minorHAnsi" w:cstheme="minorHAnsi"/>
          <w:sz w:val="22"/>
          <w:szCs w:val="22"/>
        </w:rPr>
        <w:t>The following text was agreed in a TP to 37.340:</w:t>
      </w:r>
    </w:p>
    <w:p w14:paraId="36CB83C1" w14:textId="77777777" w:rsidR="0057381D" w:rsidRPr="005123DB" w:rsidRDefault="0057381D" w:rsidP="0057381D">
      <w:pPr>
        <w:pBdr>
          <w:top w:val="single" w:sz="4" w:space="1" w:color="auto"/>
          <w:left w:val="single" w:sz="4" w:space="4" w:color="auto"/>
          <w:bottom w:val="single" w:sz="4" w:space="1" w:color="auto"/>
          <w:right w:val="single" w:sz="4" w:space="4" w:color="auto"/>
        </w:pBdr>
        <w:rPr>
          <w:rFonts w:asciiTheme="minorHAnsi" w:hAnsiTheme="minorHAnsi" w:cstheme="minorHAnsi"/>
          <w:color w:val="000000" w:themeColor="text1"/>
          <w:sz w:val="22"/>
          <w:szCs w:val="22"/>
        </w:rPr>
      </w:pPr>
      <w:r w:rsidRPr="005123DB">
        <w:rPr>
          <w:rFonts w:asciiTheme="minorHAnsi" w:hAnsiTheme="minorHAnsi" w:cstheme="minorHAnsi"/>
          <w:color w:val="000000" w:themeColor="text1"/>
          <w:sz w:val="22"/>
          <w:szCs w:val="22"/>
        </w:rPr>
        <w:t xml:space="preserve">In case there is an SCG failure when UE is configured with CHO with candidate SCG(s), the serving M-NG-RAN node receiving </w:t>
      </w:r>
      <w:proofErr w:type="spellStart"/>
      <w:r w:rsidRPr="005123DB">
        <w:rPr>
          <w:rFonts w:asciiTheme="minorHAnsi" w:hAnsiTheme="minorHAnsi" w:cstheme="minorHAnsi"/>
          <w:color w:val="000000" w:themeColor="text1"/>
          <w:sz w:val="22"/>
          <w:szCs w:val="22"/>
        </w:rPr>
        <w:t>SCGFailureInformation</w:t>
      </w:r>
      <w:proofErr w:type="spellEnd"/>
      <w:r w:rsidRPr="005123DB">
        <w:rPr>
          <w:rFonts w:asciiTheme="minorHAnsi" w:hAnsiTheme="minorHAnsi" w:cstheme="minorHAnsi"/>
          <w:color w:val="000000" w:themeColor="text1"/>
          <w:sz w:val="22"/>
          <w:szCs w:val="22"/>
        </w:rPr>
        <w:t xml:space="preserve"> from the UE performs initial analysis. </w:t>
      </w:r>
    </w:p>
    <w:p w14:paraId="388A480D" w14:textId="77777777" w:rsidR="0057381D" w:rsidRPr="005123DB" w:rsidRDefault="0057381D" w:rsidP="0057381D">
      <w:pPr>
        <w:pBdr>
          <w:top w:val="single" w:sz="4" w:space="1" w:color="auto"/>
          <w:left w:val="single" w:sz="4" w:space="4" w:color="auto"/>
          <w:bottom w:val="single" w:sz="4" w:space="1" w:color="auto"/>
          <w:right w:val="single" w:sz="4" w:space="4" w:color="auto"/>
        </w:pBdr>
        <w:rPr>
          <w:rFonts w:asciiTheme="minorHAnsi" w:hAnsiTheme="minorHAnsi" w:cstheme="minorHAnsi"/>
          <w:color w:val="000000" w:themeColor="text1"/>
          <w:sz w:val="22"/>
          <w:szCs w:val="22"/>
        </w:rPr>
      </w:pPr>
      <w:r w:rsidRPr="005123DB">
        <w:rPr>
          <w:rFonts w:asciiTheme="minorHAnsi" w:hAnsiTheme="minorHAnsi" w:cstheme="minorHAnsi"/>
          <w:color w:val="000000" w:themeColor="text1"/>
          <w:sz w:val="22"/>
          <w:szCs w:val="22"/>
        </w:rPr>
        <w:t xml:space="preserve">If the SCG failure has been caused by a different M-NG-RAN node, the serving M-NG-RAN node transfers the </w:t>
      </w:r>
      <w:proofErr w:type="spellStart"/>
      <w:r w:rsidRPr="005123DB">
        <w:rPr>
          <w:rFonts w:asciiTheme="minorHAnsi" w:hAnsiTheme="minorHAnsi" w:cstheme="minorHAnsi"/>
          <w:color w:val="000000" w:themeColor="text1"/>
          <w:sz w:val="22"/>
          <w:szCs w:val="22"/>
        </w:rPr>
        <w:t>SCGFailureInformation</w:t>
      </w:r>
      <w:proofErr w:type="spellEnd"/>
      <w:r w:rsidRPr="005123DB">
        <w:rPr>
          <w:rFonts w:asciiTheme="minorHAnsi" w:hAnsiTheme="minorHAnsi" w:cstheme="minorHAnsi"/>
          <w:color w:val="000000" w:themeColor="text1"/>
          <w:sz w:val="22"/>
          <w:szCs w:val="22"/>
        </w:rPr>
        <w:t xml:space="preserve"> to that M-NG-RAN node.</w:t>
      </w:r>
    </w:p>
    <w:bookmarkEnd w:id="71"/>
    <w:bookmarkEnd w:id="72"/>
    <w:p w14:paraId="52B1D8AD" w14:textId="77777777" w:rsidR="0057381D" w:rsidRDefault="0057381D" w:rsidP="00A54A9D">
      <w:pPr>
        <w:pStyle w:val="PropObs"/>
        <w:numPr>
          <w:ilvl w:val="0"/>
          <w:numId w:val="0"/>
        </w:numPr>
      </w:pPr>
    </w:p>
    <w:p w14:paraId="686F2DE9" w14:textId="5CE4DAFC" w:rsidR="00E11E22" w:rsidRPr="000453E3" w:rsidRDefault="0057381D" w:rsidP="00A54A9D">
      <w:pPr>
        <w:pStyle w:val="PropObs"/>
        <w:numPr>
          <w:ilvl w:val="0"/>
          <w:numId w:val="0"/>
        </w:numPr>
      </w:pPr>
      <w:bookmarkStart w:id="73" w:name="_Toc193811272"/>
      <w:bookmarkStart w:id="74" w:name="_Toc193811340"/>
      <w:bookmarkStart w:id="75" w:name="_Toc193811402"/>
      <w:bookmarkStart w:id="76" w:name="_Toc193896327"/>
      <w:r>
        <w:t>Relevant RAN3 agreements:</w:t>
      </w:r>
      <w:bookmarkEnd w:id="73"/>
      <w:bookmarkEnd w:id="74"/>
      <w:bookmarkEnd w:id="75"/>
      <w:bookmarkEnd w:id="76"/>
    </w:p>
    <w:p w14:paraId="01A85F82" w14:textId="77777777" w:rsidR="000453E3" w:rsidRDefault="000453E3" w:rsidP="00A54A9D">
      <w:pPr>
        <w:pStyle w:val="PropObs"/>
        <w:numPr>
          <w:ilvl w:val="0"/>
          <w:numId w:val="0"/>
        </w:numPr>
      </w:pPr>
    </w:p>
    <w:p w14:paraId="52EFBE0A" w14:textId="77777777" w:rsidR="00E11E22" w:rsidRPr="00E11E22" w:rsidRDefault="00E11E22" w:rsidP="000453E3">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u w:val="single"/>
        </w:rPr>
      </w:pPr>
      <w:proofErr w:type="spellStart"/>
      <w:r w:rsidRPr="00E11E22">
        <w:rPr>
          <w:rFonts w:asciiTheme="minorHAnsi" w:hAnsiTheme="minorHAnsi" w:cstheme="minorHAnsi"/>
          <w:b/>
          <w:bCs/>
          <w:sz w:val="22"/>
          <w:szCs w:val="22"/>
          <w:u w:val="single"/>
        </w:rPr>
        <w:lastRenderedPageBreak/>
        <w:t>SCGFailureInfomation</w:t>
      </w:r>
      <w:proofErr w:type="spellEnd"/>
      <w:r w:rsidRPr="00E11E22">
        <w:rPr>
          <w:rFonts w:asciiTheme="minorHAnsi" w:hAnsiTheme="minorHAnsi" w:cstheme="minorHAnsi"/>
          <w:b/>
          <w:bCs/>
          <w:sz w:val="22"/>
          <w:szCs w:val="22"/>
          <w:u w:val="single"/>
        </w:rPr>
        <w:t xml:space="preserve"> handling for case 1b)/2b)/3b)/9b) and case 7b)/8b):</w:t>
      </w:r>
    </w:p>
    <w:p w14:paraId="525A6C82" w14:textId="77777777" w:rsidR="00E11E22" w:rsidRPr="000D7A66" w:rsidRDefault="00E11E22" w:rsidP="000453E3">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0D7A66">
        <w:rPr>
          <w:rFonts w:asciiTheme="minorHAnsi" w:hAnsiTheme="minorHAnsi" w:cstheme="minorHAnsi"/>
          <w:color w:val="00B050"/>
          <w:sz w:val="22"/>
          <w:szCs w:val="22"/>
        </w:rPr>
        <w:t xml:space="preserve">The serving MN which receives </w:t>
      </w:r>
      <w:proofErr w:type="spellStart"/>
      <w:r w:rsidRPr="000D7A66">
        <w:rPr>
          <w:rFonts w:asciiTheme="minorHAnsi" w:hAnsiTheme="minorHAnsi" w:cstheme="minorHAnsi"/>
          <w:color w:val="00B050"/>
          <w:sz w:val="22"/>
          <w:szCs w:val="22"/>
        </w:rPr>
        <w:t>SCGFailureInformation</w:t>
      </w:r>
      <w:proofErr w:type="spellEnd"/>
      <w:r w:rsidRPr="000D7A66">
        <w:rPr>
          <w:rFonts w:asciiTheme="minorHAnsi" w:hAnsiTheme="minorHAnsi" w:cstheme="minorHAnsi"/>
          <w:color w:val="00B050"/>
          <w:sz w:val="22"/>
          <w:szCs w:val="22"/>
        </w:rPr>
        <w:t xml:space="preserve"> from the UE performs the initial analysis</w:t>
      </w:r>
    </w:p>
    <w:p w14:paraId="7201A020" w14:textId="77777777" w:rsidR="00E11E22" w:rsidRPr="000D7A66" w:rsidRDefault="00E11E22" w:rsidP="000453E3">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0D7A66">
        <w:rPr>
          <w:rFonts w:asciiTheme="minorHAnsi" w:hAnsiTheme="minorHAnsi" w:cstheme="minorHAnsi"/>
          <w:color w:val="00B050"/>
          <w:sz w:val="22"/>
          <w:szCs w:val="22"/>
        </w:rPr>
        <w:t xml:space="preserve">The serving MN forward the </w:t>
      </w:r>
      <w:proofErr w:type="spellStart"/>
      <w:r w:rsidRPr="000D7A66">
        <w:rPr>
          <w:rFonts w:asciiTheme="minorHAnsi" w:hAnsiTheme="minorHAnsi" w:cstheme="minorHAnsi"/>
          <w:color w:val="00B050"/>
          <w:sz w:val="22"/>
          <w:szCs w:val="22"/>
        </w:rPr>
        <w:t>SCGFailureInformation</w:t>
      </w:r>
      <w:proofErr w:type="spellEnd"/>
      <w:r w:rsidRPr="000D7A66">
        <w:rPr>
          <w:rFonts w:asciiTheme="minorHAnsi" w:hAnsiTheme="minorHAnsi" w:cstheme="minorHAnsi"/>
          <w:color w:val="00B050"/>
          <w:sz w:val="22"/>
          <w:szCs w:val="22"/>
        </w:rPr>
        <w:t xml:space="preserve"> to the </w:t>
      </w:r>
      <w:r w:rsidRPr="000D7A66">
        <w:rPr>
          <w:rFonts w:asciiTheme="minorHAnsi" w:hAnsiTheme="minorHAnsi" w:cstheme="minorHAnsi"/>
          <w:color w:val="00B050"/>
          <w:sz w:val="22"/>
          <w:szCs w:val="22"/>
          <w:highlight w:val="yellow"/>
        </w:rPr>
        <w:t>respective MN</w:t>
      </w:r>
      <w:r w:rsidRPr="000D7A66">
        <w:rPr>
          <w:rFonts w:asciiTheme="minorHAnsi" w:hAnsiTheme="minorHAnsi" w:cstheme="minorHAnsi"/>
          <w:color w:val="00B050"/>
          <w:sz w:val="22"/>
          <w:szCs w:val="22"/>
        </w:rPr>
        <w:t xml:space="preserve"> which should perform the optimization if needed (e.g., for case 3b)</w:t>
      </w:r>
    </w:p>
    <w:p w14:paraId="71244EE7" w14:textId="32C90030" w:rsidR="004D1132" w:rsidRDefault="00E11E22" w:rsidP="000D7A66">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0D7A66">
        <w:rPr>
          <w:rFonts w:asciiTheme="minorHAnsi" w:hAnsiTheme="minorHAnsi" w:cstheme="minorHAnsi"/>
          <w:color w:val="00B050"/>
          <w:sz w:val="22"/>
          <w:szCs w:val="22"/>
        </w:rPr>
        <w:t xml:space="preserve">Whether the above mechanism works depends on RAN2 progress on </w:t>
      </w:r>
      <w:proofErr w:type="spellStart"/>
      <w:r w:rsidRPr="000D7A66">
        <w:rPr>
          <w:rFonts w:asciiTheme="minorHAnsi" w:hAnsiTheme="minorHAnsi" w:cstheme="minorHAnsi"/>
          <w:color w:val="00B050"/>
          <w:sz w:val="22"/>
          <w:szCs w:val="22"/>
        </w:rPr>
        <w:t>SCGFailureInfomation</w:t>
      </w:r>
      <w:proofErr w:type="spellEnd"/>
      <w:r w:rsidRPr="000D7A66">
        <w:rPr>
          <w:rFonts w:asciiTheme="minorHAnsi" w:hAnsiTheme="minorHAnsi" w:cstheme="minorHAnsi"/>
          <w:color w:val="00B050"/>
          <w:sz w:val="22"/>
          <w:szCs w:val="22"/>
        </w:rPr>
        <w:t>.</w:t>
      </w:r>
    </w:p>
    <w:p w14:paraId="15B5E3BD" w14:textId="77777777" w:rsidR="00F15187" w:rsidRPr="00F15187" w:rsidRDefault="00F15187" w:rsidP="00F1518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F15187">
        <w:rPr>
          <w:rFonts w:asciiTheme="minorHAnsi" w:hAnsiTheme="minorHAnsi" w:cstheme="minorHAnsi"/>
          <w:color w:val="00B050"/>
          <w:sz w:val="22"/>
          <w:szCs w:val="22"/>
        </w:rPr>
        <w:t xml:space="preserve">New message is defined for the serving MN to forward the </w:t>
      </w:r>
      <w:proofErr w:type="spellStart"/>
      <w:r w:rsidRPr="00F15187">
        <w:rPr>
          <w:rFonts w:asciiTheme="minorHAnsi" w:hAnsiTheme="minorHAnsi" w:cstheme="minorHAnsi"/>
          <w:color w:val="00B050"/>
          <w:sz w:val="22"/>
          <w:szCs w:val="22"/>
        </w:rPr>
        <w:t>SCGFailureInformation</w:t>
      </w:r>
      <w:proofErr w:type="spellEnd"/>
      <w:r w:rsidRPr="00F15187">
        <w:rPr>
          <w:rFonts w:asciiTheme="minorHAnsi" w:hAnsiTheme="minorHAnsi" w:cstheme="minorHAnsi"/>
          <w:color w:val="00B050"/>
          <w:sz w:val="22"/>
          <w:szCs w:val="22"/>
        </w:rPr>
        <w:t xml:space="preserve"> to the respective MN which should perform the optimization.</w:t>
      </w:r>
    </w:p>
    <w:p w14:paraId="7DEE8DB1" w14:textId="77777777" w:rsidR="00F15187" w:rsidRPr="00F15187" w:rsidRDefault="00F15187" w:rsidP="00F1518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F15187">
        <w:rPr>
          <w:rFonts w:asciiTheme="minorHAnsi" w:hAnsiTheme="minorHAnsi" w:cstheme="minorHAnsi"/>
          <w:color w:val="0070C0"/>
          <w:sz w:val="22"/>
          <w:szCs w:val="22"/>
        </w:rPr>
        <w:t>When to send the message? Immediately or not?</w:t>
      </w:r>
    </w:p>
    <w:p w14:paraId="43BEBCCE" w14:textId="77777777" w:rsidR="00F15187" w:rsidRPr="00F15187" w:rsidRDefault="00F15187" w:rsidP="00F1518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F15187">
        <w:rPr>
          <w:rFonts w:asciiTheme="minorHAnsi" w:hAnsiTheme="minorHAnsi" w:cstheme="minorHAnsi"/>
          <w:color w:val="0070C0"/>
          <w:sz w:val="22"/>
          <w:szCs w:val="22"/>
        </w:rPr>
        <w:t>Check whether respective MN is only a candidate?</w:t>
      </w:r>
    </w:p>
    <w:p w14:paraId="075E0E45" w14:textId="77777777" w:rsidR="00F15187" w:rsidRPr="00F15187" w:rsidRDefault="00F15187" w:rsidP="00F1518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F15187">
        <w:rPr>
          <w:rFonts w:asciiTheme="minorHAnsi" w:hAnsiTheme="minorHAnsi" w:cstheme="minorHAnsi"/>
          <w:color w:val="0070C0"/>
          <w:sz w:val="22"/>
          <w:szCs w:val="22"/>
        </w:rPr>
        <w:t xml:space="preserve">In addition to </w:t>
      </w:r>
      <w:proofErr w:type="spellStart"/>
      <w:r w:rsidRPr="00F15187">
        <w:rPr>
          <w:rFonts w:asciiTheme="minorHAnsi" w:hAnsiTheme="minorHAnsi" w:cstheme="minorHAnsi"/>
          <w:color w:val="0070C0"/>
          <w:sz w:val="22"/>
          <w:szCs w:val="22"/>
        </w:rPr>
        <w:t>SCGFailureInformation</w:t>
      </w:r>
      <w:proofErr w:type="spellEnd"/>
      <w:r w:rsidRPr="00F15187">
        <w:rPr>
          <w:rFonts w:asciiTheme="minorHAnsi" w:hAnsiTheme="minorHAnsi" w:cstheme="minorHAnsi"/>
          <w:color w:val="0070C0"/>
          <w:sz w:val="22"/>
          <w:szCs w:val="22"/>
        </w:rPr>
        <w:t>, FFS whether additional information (e.g. CPC failure type) needed in the new message</w:t>
      </w:r>
    </w:p>
    <w:p w14:paraId="7717FAD6" w14:textId="0888EB3D" w:rsidR="003A7FB1" w:rsidRPr="00FB29CD" w:rsidRDefault="0057381D" w:rsidP="0057381D">
      <w:pPr>
        <w:pStyle w:val="PropObs"/>
        <w:numPr>
          <w:ilvl w:val="0"/>
          <w:numId w:val="0"/>
        </w:numPr>
        <w:rPr>
          <w:b w:val="0"/>
          <w:bCs w:val="0"/>
        </w:rPr>
      </w:pPr>
      <w:bookmarkStart w:id="77" w:name="_Toc193811273"/>
      <w:bookmarkStart w:id="78" w:name="_Toc193811341"/>
      <w:bookmarkStart w:id="79" w:name="_Toc193811403"/>
      <w:bookmarkStart w:id="80" w:name="_Toc193896328"/>
      <w:r w:rsidRPr="00FB29CD">
        <w:rPr>
          <w:b w:val="0"/>
          <w:bCs w:val="0"/>
        </w:rPr>
        <w:t xml:space="preserve">In our view, </w:t>
      </w:r>
      <w:r w:rsidR="00FB29CD" w:rsidRPr="00FB29CD">
        <w:rPr>
          <w:b w:val="0"/>
          <w:bCs w:val="0"/>
        </w:rPr>
        <w:t xml:space="preserve">it is sufficient if </w:t>
      </w:r>
      <w:r w:rsidRPr="00FB29CD">
        <w:rPr>
          <w:b w:val="0"/>
          <w:bCs w:val="0"/>
        </w:rPr>
        <w:t xml:space="preserve">the node receiving the </w:t>
      </w:r>
      <w:proofErr w:type="spellStart"/>
      <w:r w:rsidRPr="00FB29CD">
        <w:rPr>
          <w:b w:val="0"/>
          <w:bCs w:val="0"/>
        </w:rPr>
        <w:t>SCGFailureInformation</w:t>
      </w:r>
      <w:proofErr w:type="spellEnd"/>
      <w:r w:rsidRPr="00FB29CD">
        <w:rPr>
          <w:b w:val="0"/>
          <w:bCs w:val="0"/>
        </w:rPr>
        <w:t xml:space="preserve"> from UE transfer</w:t>
      </w:r>
      <w:r w:rsidR="00FB29CD" w:rsidRPr="00FB29CD">
        <w:rPr>
          <w:b w:val="0"/>
          <w:bCs w:val="0"/>
        </w:rPr>
        <w:t>s</w:t>
      </w:r>
      <w:r w:rsidRPr="00FB29CD">
        <w:rPr>
          <w:b w:val="0"/>
          <w:bCs w:val="0"/>
        </w:rPr>
        <w:t xml:space="preserve"> the </w:t>
      </w:r>
      <w:proofErr w:type="spellStart"/>
      <w:r w:rsidRPr="00FB29CD">
        <w:rPr>
          <w:b w:val="0"/>
          <w:bCs w:val="0"/>
        </w:rPr>
        <w:t>SCGFailureInformation</w:t>
      </w:r>
      <w:proofErr w:type="spellEnd"/>
      <w:r w:rsidRPr="00FB29CD">
        <w:rPr>
          <w:b w:val="0"/>
          <w:bCs w:val="0"/>
        </w:rPr>
        <w:t xml:space="preserve"> to a candidate MN “immediately” in a UE-associated message i.e., there is no need to aggregate SCG Failures from multiple UEs and send it in a non-UE associated message.</w:t>
      </w:r>
      <w:r w:rsidR="00FB29CD">
        <w:rPr>
          <w:b w:val="0"/>
          <w:bCs w:val="0"/>
        </w:rPr>
        <w:t xml:space="preserve"> Therefore, the following is proposed”</w:t>
      </w:r>
      <w:bookmarkEnd w:id="77"/>
      <w:bookmarkEnd w:id="78"/>
      <w:bookmarkEnd w:id="79"/>
      <w:bookmarkEnd w:id="80"/>
    </w:p>
    <w:p w14:paraId="1D84C30D" w14:textId="77777777" w:rsidR="0057381D" w:rsidRDefault="0057381D" w:rsidP="0057381D">
      <w:pPr>
        <w:pStyle w:val="PropObs"/>
        <w:numPr>
          <w:ilvl w:val="0"/>
          <w:numId w:val="0"/>
        </w:numPr>
      </w:pPr>
    </w:p>
    <w:p w14:paraId="39AAB2F9" w14:textId="59038526" w:rsidR="009000CC" w:rsidRDefault="00C749B9" w:rsidP="00C749B9">
      <w:pPr>
        <w:pStyle w:val="PropObs"/>
      </w:pPr>
      <w:bookmarkStart w:id="81" w:name="_Toc193811274"/>
      <w:bookmarkStart w:id="82" w:name="_Toc193811342"/>
      <w:bookmarkStart w:id="83" w:name="_Toc193811404"/>
      <w:bookmarkStart w:id="84" w:name="_Toc193896329"/>
      <w:r w:rsidRPr="00C749B9">
        <w:t>In case there is an SCG failure when UE is configured with CHO with candidate SCG(s), the</w:t>
      </w:r>
      <w:r w:rsidR="00C00967">
        <w:t xml:space="preserve"> node</w:t>
      </w:r>
      <w:r w:rsidRPr="00C749B9">
        <w:t xml:space="preserve"> receiving </w:t>
      </w:r>
      <w:r w:rsidR="00C00967">
        <w:t xml:space="preserve">the </w:t>
      </w:r>
      <w:proofErr w:type="spellStart"/>
      <w:r w:rsidRPr="00C749B9">
        <w:t>SCGFailureInformation</w:t>
      </w:r>
      <w:proofErr w:type="spellEnd"/>
      <w:r w:rsidR="00C00967">
        <w:t xml:space="preserve"> from UE </w:t>
      </w:r>
      <w:r w:rsidR="005E466C">
        <w:t xml:space="preserve">performs initial analysis and may transfer the </w:t>
      </w:r>
      <w:proofErr w:type="spellStart"/>
      <w:r w:rsidR="005E466C">
        <w:t>SCGFailureInformation</w:t>
      </w:r>
      <w:proofErr w:type="spellEnd"/>
      <w:r w:rsidR="005E466C">
        <w:t xml:space="preserve"> to a candidate </w:t>
      </w:r>
      <w:r w:rsidR="000F350E">
        <w:t>MN “immediately” in a UE-associated message i.e., there is no need to aggregate SCG Failures from multiple UEs and send it in a non-UE associated message.</w:t>
      </w:r>
      <w:bookmarkEnd w:id="81"/>
      <w:bookmarkEnd w:id="82"/>
      <w:bookmarkEnd w:id="83"/>
      <w:bookmarkEnd w:id="84"/>
    </w:p>
    <w:p w14:paraId="46CCD212" w14:textId="61ABAB7D" w:rsidR="00F57ABE" w:rsidRPr="009C62C8" w:rsidRDefault="00F57ABE" w:rsidP="00F57ABE">
      <w:pPr>
        <w:pStyle w:val="Heading3"/>
        <w:numPr>
          <w:ilvl w:val="0"/>
          <w:numId w:val="0"/>
        </w:numPr>
      </w:pPr>
      <w:bookmarkStart w:id="85" w:name="_Toc178770649"/>
      <w:bookmarkStart w:id="86" w:name="_Toc181718222"/>
      <w:bookmarkStart w:id="87" w:name="_Toc181795636"/>
      <w:r>
        <w:t>2.2.</w:t>
      </w:r>
      <w:r w:rsidR="00113FD4">
        <w:t>3</w:t>
      </w:r>
      <w:r>
        <w:t xml:space="preserve"> </w:t>
      </w:r>
      <w:r w:rsidR="00A90E9C">
        <w:t>Concurrent RLF + SCG Failure s</w:t>
      </w:r>
      <w:r>
        <w:t>cenario</w:t>
      </w:r>
    </w:p>
    <w:p w14:paraId="3AA3CE96" w14:textId="77777777" w:rsidR="00F57ABE" w:rsidRDefault="00F57ABE" w:rsidP="00F57ABE">
      <w:pPr>
        <w:rPr>
          <w:rFonts w:ascii="Calibri" w:hAnsi="Calibri" w:cs="Calibri"/>
          <w:sz w:val="22"/>
          <w:szCs w:val="22"/>
          <w:lang w:eastAsia="zh-CN"/>
        </w:rPr>
      </w:pPr>
      <w:r>
        <w:rPr>
          <w:rFonts w:ascii="Calibri" w:hAnsi="Calibri" w:cs="Calibri"/>
          <w:sz w:val="22"/>
          <w:szCs w:val="22"/>
          <w:lang w:eastAsia="zh-CN"/>
        </w:rPr>
        <w:t>Agreements and open issues so far:</w:t>
      </w:r>
    </w:p>
    <w:p w14:paraId="3939265C" w14:textId="77777777" w:rsidR="00F57ABE" w:rsidRPr="001F09F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1F09F8">
        <w:rPr>
          <w:rFonts w:ascii="Calibri" w:hAnsi="Calibri" w:cs="Calibri"/>
          <w:b/>
          <w:bCs/>
          <w:color w:val="00B050"/>
          <w:sz w:val="22"/>
          <w:szCs w:val="22"/>
          <w:lang w:val="en-US" w:eastAsia="zh-CN"/>
        </w:rPr>
        <w:t>MRO for Case 1a, 1b, 2a, 2b, 3a, 3b, 7a, 7b, 8a, 8b, 9 will be addressed</w:t>
      </w:r>
    </w:p>
    <w:p w14:paraId="60817767" w14:textId="77777777" w:rsidR="00F57ABE" w:rsidRPr="001F09F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61CE9E68" w14:textId="77777777" w:rsidR="00F57ABE"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0E2E67">
        <w:rPr>
          <w:rFonts w:ascii="Calibri" w:hAnsi="Calibri" w:cs="Calibri"/>
          <w:b/>
          <w:bCs/>
          <w:color w:val="00B050"/>
          <w:sz w:val="22"/>
          <w:szCs w:val="22"/>
          <w:lang w:val="en-US" w:eastAsia="zh-CN"/>
        </w:rPr>
        <w:t>Do not distinguish between fast MCG recovery/no-fast MCG recovery (after the CHO with candidate SCG execution failure)</w:t>
      </w:r>
    </w:p>
    <w:p w14:paraId="4E9FDC83" w14:textId="77777777" w:rsidR="00F57ABE"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65DB7A89" w14:textId="77777777" w:rsidR="00F57ABE" w:rsidRPr="009C62C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C62C8">
        <w:rPr>
          <w:rFonts w:ascii="Calibri" w:hAnsi="Calibri" w:cs="Calibri"/>
          <w:b/>
          <w:bCs/>
          <w:color w:val="0070C0"/>
          <w:sz w:val="22"/>
          <w:szCs w:val="22"/>
          <w:lang w:val="en-US" w:eastAsia="zh-CN"/>
        </w:rPr>
        <w:t>FFS whether there is any specification impact for case 4/5/6.</w:t>
      </w:r>
    </w:p>
    <w:p w14:paraId="2FF8B7A8" w14:textId="77777777" w:rsidR="00F57ABE" w:rsidRPr="001F09F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73AA725B" w14:textId="77777777" w:rsidR="00F57ABE" w:rsidRPr="009C62C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C62C8">
        <w:rPr>
          <w:rFonts w:ascii="Calibri" w:hAnsi="Calibri" w:cs="Calibri"/>
          <w:b/>
          <w:bCs/>
          <w:color w:val="0070C0"/>
          <w:sz w:val="22"/>
          <w:szCs w:val="22"/>
          <w:lang w:val="en-US" w:eastAsia="zh-CN"/>
        </w:rPr>
        <w:t>Case 1c, 2c, 3c, 7c, 8c are FFS</w:t>
      </w:r>
    </w:p>
    <w:p w14:paraId="6CF21474" w14:textId="77777777" w:rsidR="00F57ABE"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1E0788AC" w14:textId="77777777" w:rsidR="00F57ABE" w:rsidRPr="009C62C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F51BF3">
        <w:rPr>
          <w:rFonts w:ascii="Calibri" w:hAnsi="Calibri" w:cs="Calibri"/>
          <w:b/>
          <w:bCs/>
          <w:color w:val="0070C0"/>
          <w:sz w:val="22"/>
          <w:szCs w:val="22"/>
          <w:lang w:val="en-US" w:eastAsia="zh-CN"/>
        </w:rPr>
        <w:t>FFS whether to support concurrent failure cases (RLF + SCG failure). The definition of these cases needs to be further clarified.</w:t>
      </w:r>
      <w:r>
        <w:rPr>
          <w:rFonts w:ascii="Calibri" w:hAnsi="Calibri" w:cs="Calibri"/>
          <w:b/>
          <w:bCs/>
          <w:color w:val="0070C0"/>
          <w:sz w:val="22"/>
          <w:szCs w:val="22"/>
          <w:lang w:val="en-US" w:eastAsia="zh-CN"/>
        </w:rPr>
        <w:tab/>
      </w:r>
    </w:p>
    <w:p w14:paraId="221302EE" w14:textId="77777777" w:rsidR="00F57ABE" w:rsidRDefault="00F57ABE" w:rsidP="00F57ABE">
      <w:pPr>
        <w:rPr>
          <w:rFonts w:ascii="Calibri" w:hAnsi="Calibri" w:cs="Calibri"/>
          <w:sz w:val="22"/>
          <w:szCs w:val="22"/>
          <w:lang w:eastAsia="zh-CN"/>
        </w:rPr>
      </w:pPr>
    </w:p>
    <w:p w14:paraId="4E643323" w14:textId="77777777" w:rsidR="00F57ABE" w:rsidRDefault="00F57ABE" w:rsidP="00F57ABE">
      <w:pPr>
        <w:rPr>
          <w:rFonts w:ascii="Calibri" w:hAnsi="Calibri" w:cs="Calibri"/>
          <w:sz w:val="22"/>
          <w:szCs w:val="22"/>
          <w:lang w:eastAsia="zh-CN"/>
        </w:rPr>
      </w:pPr>
      <w:r>
        <w:rPr>
          <w:rFonts w:ascii="Calibri" w:hAnsi="Calibri" w:cs="Calibri"/>
          <w:sz w:val="22"/>
          <w:szCs w:val="22"/>
          <w:lang w:eastAsia="zh-CN"/>
        </w:rPr>
        <w:t xml:space="preserve">Concurrent MCG and SCG failures can be deprioritized as this is not specific to CHO with candidate SCG. This was also considered in R17/R18 (e.g., MCG failure before UE sends </w:t>
      </w:r>
      <w:proofErr w:type="spellStart"/>
      <w:r>
        <w:rPr>
          <w:rFonts w:ascii="Calibri" w:hAnsi="Calibri" w:cs="Calibri"/>
          <w:sz w:val="22"/>
          <w:szCs w:val="22"/>
          <w:lang w:eastAsia="zh-CN"/>
        </w:rPr>
        <w:t>SCGFailureInformation</w:t>
      </w:r>
      <w:proofErr w:type="spellEnd"/>
      <w:r>
        <w:rPr>
          <w:rFonts w:ascii="Calibri" w:hAnsi="Calibri" w:cs="Calibri"/>
          <w:sz w:val="22"/>
          <w:szCs w:val="22"/>
          <w:lang w:eastAsia="zh-CN"/>
        </w:rPr>
        <w:t xml:space="preserve">) but no enhancements were specified. </w:t>
      </w:r>
    </w:p>
    <w:p w14:paraId="750A94E9" w14:textId="77777777" w:rsidR="00F57ABE" w:rsidRDefault="00F57ABE" w:rsidP="00F57ABE">
      <w:pPr>
        <w:rPr>
          <w:rFonts w:ascii="Calibri" w:hAnsi="Calibri" w:cs="Calibri"/>
          <w:sz w:val="22"/>
          <w:szCs w:val="22"/>
          <w:lang w:eastAsia="zh-CN"/>
        </w:rPr>
      </w:pPr>
      <w:r>
        <w:rPr>
          <w:rFonts w:ascii="Calibri" w:hAnsi="Calibri" w:cs="Calibri"/>
          <w:sz w:val="22"/>
          <w:szCs w:val="22"/>
          <w:lang w:eastAsia="zh-CN"/>
        </w:rPr>
        <w:t>The other scenario where fast MCG recovery via SCG could not be initiated because SCG fails immediately after MCG fails is already deprioritized as RAN3 agreed to not</w:t>
      </w:r>
      <w:r w:rsidRPr="000D7A8E">
        <w:t xml:space="preserve"> </w:t>
      </w:r>
      <w:r w:rsidRPr="000D7A8E">
        <w:rPr>
          <w:rFonts w:ascii="Calibri" w:hAnsi="Calibri" w:cs="Calibri"/>
          <w:sz w:val="22"/>
          <w:szCs w:val="22"/>
          <w:lang w:eastAsia="zh-CN"/>
        </w:rPr>
        <w:t>distinguish between fast MCG recovery/no-fast MCG recovery (after the CHO with candidate SCG execution failure)</w:t>
      </w:r>
      <w:r>
        <w:rPr>
          <w:rFonts w:ascii="Calibri" w:hAnsi="Calibri" w:cs="Calibri"/>
          <w:sz w:val="22"/>
          <w:szCs w:val="22"/>
          <w:lang w:eastAsia="zh-CN"/>
        </w:rPr>
        <w:t>. Therefore, the following is proposed:</w:t>
      </w:r>
    </w:p>
    <w:p w14:paraId="31FFAEA0" w14:textId="77777777" w:rsidR="00F57ABE" w:rsidRDefault="00F57ABE" w:rsidP="00A54A9D">
      <w:pPr>
        <w:pStyle w:val="PropObs"/>
        <w:numPr>
          <w:ilvl w:val="0"/>
          <w:numId w:val="0"/>
        </w:numPr>
        <w:ind w:left="720"/>
      </w:pPr>
    </w:p>
    <w:p w14:paraId="38DAECE5" w14:textId="77777777" w:rsidR="00F57ABE" w:rsidRDefault="00F57ABE" w:rsidP="00A54A9D">
      <w:pPr>
        <w:pStyle w:val="PropObs"/>
      </w:pPr>
      <w:bookmarkStart w:id="88" w:name="_Toc178770638"/>
      <w:bookmarkStart w:id="89" w:name="_Toc181718215"/>
      <w:bookmarkStart w:id="90" w:name="_Toc181795629"/>
      <w:bookmarkStart w:id="91" w:name="_Toc189561085"/>
      <w:bookmarkStart w:id="92" w:name="_Toc193809409"/>
      <w:bookmarkStart w:id="93" w:name="_Toc193811275"/>
      <w:bookmarkStart w:id="94" w:name="_Toc193811343"/>
      <w:bookmarkStart w:id="95" w:name="_Toc193811405"/>
      <w:bookmarkStart w:id="96" w:name="_Toc193896330"/>
      <w:r>
        <w:t xml:space="preserve">There is no need to support concurrent failure cases (RLF + SCG failure) i.e., there is no need to support </w:t>
      </w:r>
      <w:r w:rsidRPr="00E0722B">
        <w:t>case 1c, 2c, 3c, 7c, 8c</w:t>
      </w:r>
      <w:bookmarkEnd w:id="88"/>
      <w:bookmarkEnd w:id="89"/>
      <w:bookmarkEnd w:id="90"/>
      <w:bookmarkEnd w:id="91"/>
      <w:bookmarkEnd w:id="92"/>
      <w:bookmarkEnd w:id="93"/>
      <w:bookmarkEnd w:id="94"/>
      <w:bookmarkEnd w:id="95"/>
      <w:bookmarkEnd w:id="96"/>
    </w:p>
    <w:p w14:paraId="41BECC95" w14:textId="77777777" w:rsidR="00F57ABE" w:rsidRDefault="00F57ABE" w:rsidP="00A54A9D">
      <w:pPr>
        <w:pStyle w:val="PropObs"/>
        <w:numPr>
          <w:ilvl w:val="0"/>
          <w:numId w:val="0"/>
        </w:numPr>
      </w:pPr>
    </w:p>
    <w:bookmarkEnd w:id="85"/>
    <w:bookmarkEnd w:id="86"/>
    <w:bookmarkEnd w:id="87"/>
    <w:p w14:paraId="63218C90" w14:textId="748803F3" w:rsidR="003623CE" w:rsidRPr="0024696D" w:rsidRDefault="003623CE" w:rsidP="00A57392">
      <w:pPr>
        <w:pStyle w:val="Heading1"/>
        <w:spacing w:line="276" w:lineRule="auto"/>
        <w:ind w:left="450"/>
      </w:pPr>
      <w:r w:rsidRPr="0024696D">
        <w:t xml:space="preserve">Summary </w:t>
      </w:r>
    </w:p>
    <w:p w14:paraId="1529FA46" w14:textId="77777777" w:rsidR="00DE34C5" w:rsidRDefault="001A36E3">
      <w:pPr>
        <w:pStyle w:val="TOC1"/>
        <w:rPr>
          <w:rFonts w:eastAsiaTheme="minorEastAsia" w:cstheme="minorBidi"/>
          <w:b w:val="0"/>
          <w:noProof/>
          <w:kern w:val="2"/>
          <w:sz w:val="24"/>
          <w:szCs w:val="24"/>
          <w:u w:val="none"/>
          <w:lang w:val="en-US"/>
          <w14:ligatures w14:val="standardContextual"/>
        </w:rPr>
      </w:pPr>
      <w:r>
        <w:rPr>
          <w:rFonts w:ascii="Calibri" w:hAnsi="Calibri" w:cs="Calibri"/>
          <w:sz w:val="22"/>
          <w:szCs w:val="22"/>
          <w:lang w:eastAsia="zh-CN"/>
        </w:rPr>
        <w:fldChar w:fldCharType="begin"/>
      </w:r>
      <w:r>
        <w:rPr>
          <w:rFonts w:ascii="Calibri" w:hAnsi="Calibri" w:cs="Calibri"/>
          <w:sz w:val="22"/>
          <w:szCs w:val="22"/>
          <w:lang w:eastAsia="zh-CN"/>
        </w:rPr>
        <w:instrText xml:space="preserve"> TOC \n \t "Heading 2,1,Observation,2,PropObs,2" </w:instrText>
      </w:r>
      <w:r>
        <w:rPr>
          <w:rFonts w:ascii="Calibri" w:hAnsi="Calibri" w:cs="Calibri"/>
          <w:sz w:val="22"/>
          <w:szCs w:val="22"/>
          <w:lang w:eastAsia="zh-CN"/>
        </w:rPr>
        <w:fldChar w:fldCharType="separate"/>
      </w:r>
      <w:r w:rsidR="00DE34C5">
        <w:rPr>
          <w:noProof/>
        </w:rPr>
        <w:t>2.1</w:t>
      </w:r>
      <w:r w:rsidR="00DE34C5">
        <w:rPr>
          <w:rFonts w:eastAsiaTheme="minorEastAsia" w:cstheme="minorBidi"/>
          <w:b w:val="0"/>
          <w:noProof/>
          <w:kern w:val="2"/>
          <w:sz w:val="24"/>
          <w:szCs w:val="24"/>
          <w:u w:val="none"/>
          <w:lang w:val="en-US"/>
          <w14:ligatures w14:val="standardContextual"/>
        </w:rPr>
        <w:tab/>
      </w:r>
      <w:r w:rsidR="00DE34C5">
        <w:rPr>
          <w:noProof/>
        </w:rPr>
        <w:t>MRO for LTM</w:t>
      </w:r>
    </w:p>
    <w:p w14:paraId="067300A9" w14:textId="77777777" w:rsidR="00DE34C5" w:rsidRDefault="00DE34C5">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559E">
        <w:rPr>
          <w:rFonts w:cstheme="minorHAnsi"/>
          <w:noProof/>
        </w:rPr>
        <w:t>Proposal 1:</w:t>
      </w:r>
      <w:r>
        <w:rPr>
          <w:rFonts w:eastAsiaTheme="minorEastAsia" w:cstheme="minorBidi"/>
          <w:b w:val="0"/>
          <w:noProof/>
          <w:kern w:val="2"/>
          <w:sz w:val="24"/>
          <w:szCs w:val="24"/>
          <w:lang w:val="en-US"/>
          <w14:ligatures w14:val="standardContextual"/>
        </w:rPr>
        <w:tab/>
      </w:r>
      <w:r w:rsidRPr="00E2559E">
        <w:rPr>
          <w:rFonts w:eastAsia="Malgun Gothic" w:cstheme="minorHAnsi"/>
          <w:noProof/>
        </w:rPr>
        <w:t>Source gNB-CU can always determine the TA acquisition type (gNB provided or UE determined) as it knows</w:t>
      </w:r>
    </w:p>
    <w:p w14:paraId="04ED13D6" w14:textId="77777777" w:rsidR="00DE34C5" w:rsidRDefault="00DE34C5">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a.</w:t>
      </w:r>
      <w:r>
        <w:rPr>
          <w:rFonts w:eastAsiaTheme="minorEastAsia" w:cstheme="minorBidi"/>
          <w:b w:val="0"/>
          <w:noProof/>
          <w:kern w:val="2"/>
          <w:sz w:val="24"/>
          <w:szCs w:val="24"/>
          <w:lang w:val="en-US"/>
          <w14:ligatures w14:val="standardContextual"/>
        </w:rPr>
        <w:tab/>
      </w:r>
      <w:r w:rsidRPr="00E2559E">
        <w:rPr>
          <w:rFonts w:cstheme="minorHAnsi"/>
          <w:noProof/>
        </w:rPr>
        <w:t>Whether it has configured the UE to perform UE-based TA measurement (e.g., via the ltm-UE-MeasuredTA-ID)</w:t>
      </w:r>
    </w:p>
    <w:p w14:paraId="161EB450" w14:textId="77777777" w:rsidR="00DE34C5" w:rsidRDefault="00DE34C5">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b.</w:t>
      </w:r>
      <w:r>
        <w:rPr>
          <w:rFonts w:eastAsiaTheme="minorEastAsia" w:cstheme="minorBidi"/>
          <w:b w:val="0"/>
          <w:noProof/>
          <w:kern w:val="2"/>
          <w:sz w:val="24"/>
          <w:szCs w:val="24"/>
          <w:lang w:val="en-US"/>
          <w14:ligatures w14:val="standardContextual"/>
        </w:rPr>
        <w:tab/>
      </w:r>
      <w:r w:rsidRPr="00E2559E">
        <w:rPr>
          <w:rFonts w:cstheme="minorHAnsi"/>
          <w:noProof/>
        </w:rPr>
        <w:t>Whether the candidate gNB-DU has determined TA for an LTM candidate cell upon receiving DU-CU TA Information Transfer and whether it has forwarded that info to the source gNB-DU via CU-DU TA Information Transfer.</w:t>
      </w:r>
    </w:p>
    <w:p w14:paraId="32F8240D" w14:textId="77777777" w:rsidR="00DE34C5" w:rsidRDefault="00DE34C5">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c.</w:t>
      </w:r>
      <w:r>
        <w:rPr>
          <w:rFonts w:eastAsiaTheme="minorEastAsia" w:cstheme="minorBidi"/>
          <w:b w:val="0"/>
          <w:noProof/>
          <w:kern w:val="2"/>
          <w:sz w:val="24"/>
          <w:szCs w:val="24"/>
          <w:lang w:val="en-US"/>
          <w14:ligatures w14:val="standardContextual"/>
        </w:rPr>
        <w:tab/>
      </w:r>
      <w:r w:rsidRPr="00E2559E">
        <w:rPr>
          <w:rFonts w:cstheme="minorHAnsi"/>
          <w:noProof/>
        </w:rPr>
        <w:t>Whether the TA value was provided by source gNB-DU to UE in CSC upon receiving the DU-CU CELL SWITCH NOTIFICATION</w:t>
      </w:r>
    </w:p>
    <w:p w14:paraId="748BC908" w14:textId="77777777" w:rsidR="00DE34C5" w:rsidRPr="007D3831" w:rsidRDefault="00DE34C5">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7D3831">
        <w:rPr>
          <w:b w:val="0"/>
          <w:bCs/>
          <w:noProof/>
        </w:rPr>
        <w:t>Observation 1.</w:t>
      </w:r>
      <w:r w:rsidRPr="007D3831">
        <w:rPr>
          <w:rFonts w:eastAsiaTheme="minorEastAsia" w:cstheme="minorBidi"/>
          <w:b w:val="0"/>
          <w:bCs/>
          <w:noProof/>
          <w:kern w:val="2"/>
          <w:sz w:val="24"/>
          <w:szCs w:val="24"/>
          <w:lang w:val="en-US"/>
          <w14:ligatures w14:val="standardContextual"/>
        </w:rPr>
        <w:tab/>
      </w:r>
      <w:r w:rsidRPr="007D3831">
        <w:rPr>
          <w:b w:val="0"/>
          <w:bCs/>
          <w:noProof/>
        </w:rPr>
        <w:t>There is no need for source gNB-DU to store and retrieve UE context to determine the TA acquisition type as source gNB-CU has all the information to determine the TA acquisition type.</w:t>
      </w:r>
    </w:p>
    <w:p w14:paraId="31AC2E98" w14:textId="77777777" w:rsidR="00DE34C5" w:rsidRDefault="00DE34C5">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559E">
        <w:rPr>
          <w:rFonts w:cstheme="minorHAnsi"/>
          <w:noProof/>
        </w:rPr>
        <w:t>Proposal 2:</w:t>
      </w:r>
      <w:r>
        <w:rPr>
          <w:rFonts w:eastAsiaTheme="minorEastAsia" w:cstheme="minorBidi"/>
          <w:b w:val="0"/>
          <w:noProof/>
          <w:kern w:val="2"/>
          <w:sz w:val="24"/>
          <w:szCs w:val="24"/>
          <w:lang w:val="en-US"/>
          <w14:ligatures w14:val="standardContextual"/>
        </w:rPr>
        <w:tab/>
      </w:r>
      <w:r>
        <w:rPr>
          <w:noProof/>
        </w:rPr>
        <w:t>There is no need for UE to report the TA acquisition type (gNB indicated or UE determined) to the gNB in RLF Report.  Send an LS to RAN2 that RAN3 has agreed on NW-based solution.</w:t>
      </w:r>
    </w:p>
    <w:p w14:paraId="35844C45" w14:textId="77777777" w:rsidR="00DE34C5" w:rsidRDefault="00DE34C5">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559E">
        <w:rPr>
          <w:rFonts w:cstheme="minorHAnsi"/>
          <w:noProof/>
        </w:rPr>
        <w:t>Proposal 3:</w:t>
      </w:r>
      <w:r>
        <w:rPr>
          <w:rFonts w:eastAsiaTheme="minorEastAsia" w:cstheme="minorBidi"/>
          <w:b w:val="0"/>
          <w:noProof/>
          <w:kern w:val="2"/>
          <w:sz w:val="24"/>
          <w:szCs w:val="24"/>
          <w:lang w:val="en-US"/>
          <w14:ligatures w14:val="standardContextual"/>
        </w:rPr>
        <w:tab/>
      </w:r>
      <w:r>
        <w:rPr>
          <w:noProof/>
        </w:rPr>
        <w:t>gNB-CU may forward UHI to gNB-DU, so that gNB-DU can resolve ping-pong LTM cell switches. Enhance F1AP to support this.</w:t>
      </w:r>
    </w:p>
    <w:p w14:paraId="2F6EBEBF" w14:textId="77777777" w:rsidR="00DE34C5" w:rsidRDefault="00DE34C5">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559E">
        <w:rPr>
          <w:rFonts w:cstheme="minorHAnsi"/>
          <w:noProof/>
        </w:rPr>
        <w:t>Proposal 4:</w:t>
      </w:r>
      <w:r>
        <w:rPr>
          <w:rFonts w:eastAsiaTheme="minorEastAsia" w:cstheme="minorBidi"/>
          <w:b w:val="0"/>
          <w:noProof/>
          <w:kern w:val="2"/>
          <w:sz w:val="24"/>
          <w:szCs w:val="24"/>
          <w:lang w:val="en-US"/>
          <w14:ligatures w14:val="standardContextual"/>
        </w:rPr>
        <w:tab/>
      </w:r>
      <w:r>
        <w:rPr>
          <w:noProof/>
        </w:rPr>
        <w:t>To distinguish ping-pong handovers vs. back-to-back L3 HO and LTM, add an indicator in UHI to indicate the “last HO Type” (L3 or LTM)</w:t>
      </w:r>
    </w:p>
    <w:p w14:paraId="46986A65" w14:textId="77777777" w:rsidR="00DE34C5" w:rsidRDefault="00DE34C5">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559E">
        <w:rPr>
          <w:rFonts w:cstheme="minorHAnsi"/>
          <w:noProof/>
        </w:rPr>
        <w:t>Proposal 5:</w:t>
      </w:r>
      <w:r>
        <w:rPr>
          <w:rFonts w:eastAsiaTheme="minorEastAsia" w:cstheme="minorBidi"/>
          <w:b w:val="0"/>
          <w:noProof/>
          <w:kern w:val="2"/>
          <w:sz w:val="24"/>
          <w:szCs w:val="24"/>
          <w:lang w:val="en-US"/>
          <w14:ligatures w14:val="standardContextual"/>
        </w:rPr>
        <w:tab/>
      </w:r>
      <w:r>
        <w:rPr>
          <w:noProof/>
        </w:rPr>
        <w:t>In case there is a beam failure shortly after a successful RACH-less LTM cell switch and UE successfully performs BFR in another beam, target gNB-DU can indicate the "recovered beam ID" to the source gNB-DU via the gNB-CU.</w:t>
      </w:r>
    </w:p>
    <w:p w14:paraId="603689B1" w14:textId="77777777" w:rsidR="00DE34C5" w:rsidRDefault="00DE34C5">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559E">
        <w:rPr>
          <w:rFonts w:cstheme="minorHAnsi"/>
          <w:noProof/>
        </w:rPr>
        <w:t>Proposal 6:</w:t>
      </w:r>
      <w:r>
        <w:rPr>
          <w:rFonts w:eastAsiaTheme="minorEastAsia" w:cstheme="minorBidi"/>
          <w:b w:val="0"/>
          <w:noProof/>
          <w:kern w:val="2"/>
          <w:sz w:val="24"/>
          <w:szCs w:val="24"/>
          <w:lang w:val="en-US"/>
          <w14:ligatures w14:val="standardContextual"/>
        </w:rPr>
        <w:tab/>
      </w:r>
      <w:r>
        <w:rPr>
          <w:noProof/>
        </w:rPr>
        <w:t>In case there is a RLF after receiving an LTM CSC and the UE reconnects in the same target cell but in a beam different from the one indicated in LTM CSC, target gNB-DU can indicate the "reconnected beam ID" to the source gNB-DU via the gNB-CU</w:t>
      </w:r>
    </w:p>
    <w:p w14:paraId="274D45CF" w14:textId="77777777" w:rsidR="00DE34C5" w:rsidRDefault="00DE34C5">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559E">
        <w:rPr>
          <w:rFonts w:cstheme="minorHAnsi"/>
          <w:noProof/>
        </w:rPr>
        <w:t>Proposal 7:</w:t>
      </w:r>
      <w:r>
        <w:rPr>
          <w:rFonts w:eastAsiaTheme="minorEastAsia" w:cstheme="minorBidi"/>
          <w:b w:val="0"/>
          <w:noProof/>
          <w:kern w:val="2"/>
          <w:sz w:val="24"/>
          <w:szCs w:val="24"/>
          <w:lang w:val="en-US"/>
          <w14:ligatures w14:val="standardContextual"/>
        </w:rPr>
        <w:tab/>
      </w:r>
      <w:r>
        <w:rPr>
          <w:noProof/>
        </w:rPr>
        <w:t>Reply to RAN2 that RAN3 have agreed on a NW based solution to optimize indicated beam information for both "near failure" and "LTM cell switch failure"</w:t>
      </w:r>
    </w:p>
    <w:p w14:paraId="5A7BEF5D" w14:textId="77777777" w:rsidR="00DE34C5" w:rsidRDefault="00DE34C5">
      <w:pPr>
        <w:pStyle w:val="TOC1"/>
        <w:rPr>
          <w:rFonts w:eastAsiaTheme="minorEastAsia" w:cstheme="minorBidi"/>
          <w:b w:val="0"/>
          <w:noProof/>
          <w:kern w:val="2"/>
          <w:sz w:val="24"/>
          <w:szCs w:val="24"/>
          <w:u w:val="none"/>
          <w:lang w:val="en-US"/>
          <w14:ligatures w14:val="standardContextual"/>
        </w:rPr>
      </w:pPr>
      <w:r>
        <w:rPr>
          <w:noProof/>
        </w:rPr>
        <w:t>2.2 MRO for CHO with candidate SCG</w:t>
      </w:r>
    </w:p>
    <w:p w14:paraId="20AFE9F9" w14:textId="77777777" w:rsidR="00DE34C5" w:rsidRDefault="00DE34C5">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559E">
        <w:rPr>
          <w:rFonts w:cstheme="minorHAnsi"/>
          <w:noProof/>
        </w:rPr>
        <w:t>Proposal 8:</w:t>
      </w:r>
      <w:r>
        <w:rPr>
          <w:rFonts w:eastAsiaTheme="minorEastAsia" w:cstheme="minorBidi"/>
          <w:b w:val="0"/>
          <w:noProof/>
          <w:kern w:val="2"/>
          <w:sz w:val="24"/>
          <w:szCs w:val="24"/>
          <w:lang w:val="en-US"/>
          <w14:ligatures w14:val="standardContextual"/>
        </w:rPr>
        <w:tab/>
      </w:r>
      <w:r>
        <w:rPr>
          <w:noProof/>
        </w:rPr>
        <w:t>In case there is an SCG failure when UE is configured with CHO with candidate SCG(s), the node receiving the SCGFailureInformation from UE performs initial analysis and may transfer the SCGFailureInformation to a candidate MN “immediately” in a UE-associated message i.e., there is no need to aggregate SCG Failures from multiple UEs and send it in a non-UE associated message.</w:t>
      </w:r>
    </w:p>
    <w:p w14:paraId="17AFBA8B" w14:textId="77777777" w:rsidR="00DE34C5" w:rsidRDefault="00DE34C5">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559E">
        <w:rPr>
          <w:rFonts w:cstheme="minorHAnsi"/>
          <w:noProof/>
        </w:rPr>
        <w:t>Proposal 9:</w:t>
      </w:r>
      <w:r>
        <w:rPr>
          <w:rFonts w:eastAsiaTheme="minorEastAsia" w:cstheme="minorBidi"/>
          <w:b w:val="0"/>
          <w:noProof/>
          <w:kern w:val="2"/>
          <w:sz w:val="24"/>
          <w:szCs w:val="24"/>
          <w:lang w:val="en-US"/>
          <w14:ligatures w14:val="standardContextual"/>
        </w:rPr>
        <w:tab/>
      </w:r>
      <w:r>
        <w:rPr>
          <w:noProof/>
        </w:rPr>
        <w:t>There is no need to support concurrent failure cases (RLF + SCG failure) i.e., there is no need to support case 1c, 2c, 3c, 7c, 8c</w:t>
      </w:r>
    </w:p>
    <w:p w14:paraId="59DE62D1" w14:textId="4B942C1B" w:rsidR="00D3648B" w:rsidRPr="00681D08" w:rsidRDefault="001A36E3" w:rsidP="00C12B3E">
      <w:pPr>
        <w:pStyle w:val="TOC2"/>
        <w:tabs>
          <w:tab w:val="left" w:pos="1680"/>
          <w:tab w:val="right" w:leader="dot" w:pos="9350"/>
        </w:tabs>
        <w:rPr>
          <w:rFonts w:ascii="Calibri" w:hAnsi="Calibri" w:cs="Calibri"/>
          <w:szCs w:val="22"/>
          <w:lang w:eastAsia="zh-CN"/>
        </w:rPr>
      </w:pPr>
      <w:r>
        <w:rPr>
          <w:rFonts w:ascii="Calibri" w:hAnsi="Calibri" w:cs="Calibri"/>
          <w:szCs w:val="22"/>
          <w:lang w:eastAsia="zh-CN"/>
        </w:rPr>
        <w:fldChar w:fldCharType="end"/>
      </w:r>
    </w:p>
    <w:sectPr w:rsidR="00D3648B" w:rsidRPr="00681D08"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F2D44" w14:textId="77777777" w:rsidR="00656270" w:rsidRDefault="00656270">
      <w:pPr>
        <w:spacing w:after="0"/>
      </w:pPr>
      <w:r>
        <w:separator/>
      </w:r>
    </w:p>
  </w:endnote>
  <w:endnote w:type="continuationSeparator" w:id="0">
    <w:p w14:paraId="03E429FE" w14:textId="77777777" w:rsidR="00656270" w:rsidRDefault="00656270">
      <w:pPr>
        <w:spacing w:after="0"/>
      </w:pPr>
      <w:r>
        <w:continuationSeparator/>
      </w:r>
    </w:p>
  </w:endnote>
  <w:endnote w:type="continuationNotice" w:id="1">
    <w:p w14:paraId="1BCAACE0" w14:textId="77777777" w:rsidR="00656270" w:rsidRDefault="00656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3C25B" w14:textId="77777777" w:rsidR="00656270" w:rsidRDefault="00656270">
      <w:pPr>
        <w:spacing w:after="0"/>
      </w:pPr>
      <w:r>
        <w:separator/>
      </w:r>
    </w:p>
  </w:footnote>
  <w:footnote w:type="continuationSeparator" w:id="0">
    <w:p w14:paraId="6D03D2BC" w14:textId="77777777" w:rsidR="00656270" w:rsidRDefault="00656270">
      <w:pPr>
        <w:spacing w:after="0"/>
      </w:pPr>
      <w:r>
        <w:continuationSeparator/>
      </w:r>
    </w:p>
  </w:footnote>
  <w:footnote w:type="continuationNotice" w:id="1">
    <w:p w14:paraId="2B0EDC0C" w14:textId="77777777" w:rsidR="00656270" w:rsidRDefault="006562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A61CF180"/>
    <w:lvl w:ilvl="0" w:tplc="7E46B696">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874D14"/>
    <w:multiLevelType w:val="multilevel"/>
    <w:tmpl w:val="8D3A4F98"/>
    <w:lvl w:ilvl="0">
      <w:start w:val="1"/>
      <w:numFmt w:val="decimal"/>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A219C"/>
    <w:multiLevelType w:val="hybridMultilevel"/>
    <w:tmpl w:val="5992C942"/>
    <w:lvl w:ilvl="0" w:tplc="815C0D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40E68"/>
    <w:multiLevelType w:val="multilevel"/>
    <w:tmpl w:val="B682351C"/>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741C70"/>
    <w:multiLevelType w:val="hybridMultilevel"/>
    <w:tmpl w:val="63EC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7061BF5"/>
    <w:multiLevelType w:val="multilevel"/>
    <w:tmpl w:val="8DFA3C6A"/>
    <w:lvl w:ilvl="0">
      <w:start w:val="1"/>
      <w:numFmt w:val="decimal"/>
      <w:lvlText w:val="Observation %1."/>
      <w:lvlJc w:val="left"/>
      <w:pPr>
        <w:ind w:left="432" w:hanging="432"/>
      </w:pPr>
      <w:rPr>
        <w:rFonts w:hint="default"/>
        <w:b/>
        <w:bCs/>
      </w:rPr>
    </w:lvl>
    <w:lvl w:ilvl="1">
      <w:start w:val="1"/>
      <w:numFmt w:val="bullet"/>
      <w:lvlText w:val=""/>
      <w:lvlJc w:val="left"/>
      <w:pPr>
        <w:ind w:left="360" w:hanging="360"/>
      </w:pPr>
      <w:rPr>
        <w:rFonts w:ascii="Symbol" w:hAnsi="Symbol" w:hint="default"/>
      </w:rPr>
    </w:lvl>
    <w:lvl w:ilvl="2">
      <w:start w:val="1"/>
      <w:numFmt w:val="bullet"/>
      <w:pStyle w:val="Observation"/>
      <w:lvlText w:val=""/>
      <w:lvlJc w:val="left"/>
      <w:pPr>
        <w:ind w:left="36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8A00F12"/>
    <w:multiLevelType w:val="hybridMultilevel"/>
    <w:tmpl w:val="8E40B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6CB40F2A"/>
    <w:multiLevelType w:val="hybridMultilevel"/>
    <w:tmpl w:val="6CC41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8"/>
  </w:num>
  <w:num w:numId="2" w16cid:durableId="2132168923">
    <w:abstractNumId w:val="15"/>
  </w:num>
  <w:num w:numId="3" w16cid:durableId="115368091">
    <w:abstractNumId w:val="17"/>
  </w:num>
  <w:num w:numId="4" w16cid:durableId="57484751">
    <w:abstractNumId w:val="27"/>
  </w:num>
  <w:num w:numId="5" w16cid:durableId="2075538779">
    <w:abstractNumId w:val="7"/>
  </w:num>
  <w:num w:numId="6" w16cid:durableId="1842546794">
    <w:abstractNumId w:val="19"/>
  </w:num>
  <w:num w:numId="7" w16cid:durableId="929848421">
    <w:abstractNumId w:val="1"/>
  </w:num>
  <w:num w:numId="8" w16cid:durableId="252789507">
    <w:abstractNumId w:val="3"/>
  </w:num>
  <w:num w:numId="9" w16cid:durableId="1794906155">
    <w:abstractNumId w:val="18"/>
  </w:num>
  <w:num w:numId="10" w16cid:durableId="1562522801">
    <w:abstractNumId w:val="5"/>
  </w:num>
  <w:num w:numId="11" w16cid:durableId="2106458739">
    <w:abstractNumId w:val="6"/>
  </w:num>
  <w:num w:numId="12" w16cid:durableId="1682975682">
    <w:abstractNumId w:val="25"/>
  </w:num>
  <w:num w:numId="13" w16cid:durableId="709763142">
    <w:abstractNumId w:val="22"/>
  </w:num>
  <w:num w:numId="14" w16cid:durableId="236985786">
    <w:abstractNumId w:val="2"/>
  </w:num>
  <w:num w:numId="15" w16cid:durableId="2038384352">
    <w:abstractNumId w:val="12"/>
  </w:num>
  <w:num w:numId="16" w16cid:durableId="1507670378">
    <w:abstractNumId w:val="16"/>
  </w:num>
  <w:num w:numId="17" w16cid:durableId="1351640583">
    <w:abstractNumId w:val="28"/>
  </w:num>
  <w:num w:numId="18" w16cid:durableId="436028882">
    <w:abstractNumId w:val="13"/>
  </w:num>
  <w:num w:numId="19" w16cid:durableId="32313276">
    <w:abstractNumId w:val="14"/>
  </w:num>
  <w:num w:numId="20" w16cid:durableId="180163874">
    <w:abstractNumId w:val="21"/>
  </w:num>
  <w:num w:numId="21" w16cid:durableId="118031024">
    <w:abstractNumId w:val="15"/>
  </w:num>
  <w:num w:numId="22" w16cid:durableId="1198734703">
    <w:abstractNumId w:val="15"/>
    <w:lvlOverride w:ilvl="0">
      <w:startOverride w:val="2"/>
    </w:lvlOverride>
    <w:lvlOverride w:ilvl="1">
      <w:startOverride w:val="2"/>
    </w:lvlOverride>
    <w:lvlOverride w:ilvl="2">
      <w:startOverride w:val="2"/>
    </w:lvlOverride>
  </w:num>
  <w:num w:numId="23" w16cid:durableId="535654122">
    <w:abstractNumId w:val="20"/>
  </w:num>
  <w:num w:numId="24" w16cid:durableId="164169977">
    <w:abstractNumId w:val="15"/>
  </w:num>
  <w:num w:numId="25" w16cid:durableId="1483277199">
    <w:abstractNumId w:val="10"/>
  </w:num>
  <w:num w:numId="26" w16cid:durableId="1406797761">
    <w:abstractNumId w:val="4"/>
  </w:num>
  <w:num w:numId="27" w16cid:durableId="344792723">
    <w:abstractNumId w:val="26"/>
  </w:num>
  <w:num w:numId="28" w16cid:durableId="1141655106">
    <w:abstractNumId w:val="15"/>
  </w:num>
  <w:num w:numId="29" w16cid:durableId="857545347">
    <w:abstractNumId w:val="15"/>
  </w:num>
  <w:num w:numId="30" w16cid:durableId="1095204707">
    <w:abstractNumId w:val="7"/>
  </w:num>
  <w:num w:numId="31" w16cid:durableId="1118639788">
    <w:abstractNumId w:val="7"/>
    <w:lvlOverride w:ilvl="0">
      <w:startOverride w:val="1"/>
    </w:lvlOverride>
  </w:num>
  <w:num w:numId="32" w16cid:durableId="2025009455">
    <w:abstractNumId w:val="7"/>
    <w:lvlOverride w:ilvl="0">
      <w:startOverride w:val="1"/>
    </w:lvlOverride>
  </w:num>
  <w:num w:numId="33" w16cid:durableId="1112213349">
    <w:abstractNumId w:val="7"/>
    <w:lvlOverride w:ilvl="0">
      <w:startOverride w:val="1"/>
    </w:lvlOverride>
  </w:num>
  <w:num w:numId="34" w16cid:durableId="1077240613">
    <w:abstractNumId w:val="9"/>
  </w:num>
  <w:num w:numId="35" w16cid:durableId="1177966963">
    <w:abstractNumId w:val="23"/>
  </w:num>
  <w:num w:numId="36" w16cid:durableId="749429203">
    <w:abstractNumId w:val="7"/>
    <w:lvlOverride w:ilvl="0">
      <w:startOverride w:val="1"/>
    </w:lvlOverride>
  </w:num>
  <w:num w:numId="37" w16cid:durableId="2071687394">
    <w:abstractNumId w:val="24"/>
  </w:num>
  <w:num w:numId="38" w16cid:durableId="11051740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07EA4"/>
    <w:rsid w:val="00010133"/>
    <w:rsid w:val="00010BB1"/>
    <w:rsid w:val="0001102B"/>
    <w:rsid w:val="00011195"/>
    <w:rsid w:val="0001179D"/>
    <w:rsid w:val="000119B3"/>
    <w:rsid w:val="00011CB6"/>
    <w:rsid w:val="00012261"/>
    <w:rsid w:val="000128AF"/>
    <w:rsid w:val="00013265"/>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795"/>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1D76"/>
    <w:rsid w:val="00042196"/>
    <w:rsid w:val="000431CB"/>
    <w:rsid w:val="00043A06"/>
    <w:rsid w:val="00043C85"/>
    <w:rsid w:val="00043D7A"/>
    <w:rsid w:val="00044B74"/>
    <w:rsid w:val="00044F9B"/>
    <w:rsid w:val="00044FCB"/>
    <w:rsid w:val="000453E3"/>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9CC"/>
    <w:rsid w:val="00066ACC"/>
    <w:rsid w:val="00066D09"/>
    <w:rsid w:val="000674C0"/>
    <w:rsid w:val="00067853"/>
    <w:rsid w:val="00067C0D"/>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6C1D"/>
    <w:rsid w:val="00077046"/>
    <w:rsid w:val="000773E9"/>
    <w:rsid w:val="000778BD"/>
    <w:rsid w:val="000778C1"/>
    <w:rsid w:val="0008008F"/>
    <w:rsid w:val="00080100"/>
    <w:rsid w:val="0008017F"/>
    <w:rsid w:val="000804C7"/>
    <w:rsid w:val="00080694"/>
    <w:rsid w:val="000810A5"/>
    <w:rsid w:val="00081B65"/>
    <w:rsid w:val="00081F4C"/>
    <w:rsid w:val="00083B23"/>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9FF"/>
    <w:rsid w:val="00087BE8"/>
    <w:rsid w:val="00090D45"/>
    <w:rsid w:val="00090F1F"/>
    <w:rsid w:val="000910C6"/>
    <w:rsid w:val="000916BE"/>
    <w:rsid w:val="00091749"/>
    <w:rsid w:val="00091C17"/>
    <w:rsid w:val="00093805"/>
    <w:rsid w:val="00094EE6"/>
    <w:rsid w:val="000955E0"/>
    <w:rsid w:val="000956B5"/>
    <w:rsid w:val="00095A1B"/>
    <w:rsid w:val="0009616C"/>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1D7"/>
    <w:rsid w:val="000A52DB"/>
    <w:rsid w:val="000A53BA"/>
    <w:rsid w:val="000A5B56"/>
    <w:rsid w:val="000A5BB3"/>
    <w:rsid w:val="000A5D31"/>
    <w:rsid w:val="000A6188"/>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26CA"/>
    <w:rsid w:val="000C5181"/>
    <w:rsid w:val="000C54E9"/>
    <w:rsid w:val="000C5870"/>
    <w:rsid w:val="000C59CF"/>
    <w:rsid w:val="000C620D"/>
    <w:rsid w:val="000C664C"/>
    <w:rsid w:val="000C6CB8"/>
    <w:rsid w:val="000C764B"/>
    <w:rsid w:val="000C7BF0"/>
    <w:rsid w:val="000C7F03"/>
    <w:rsid w:val="000D0020"/>
    <w:rsid w:val="000D00E0"/>
    <w:rsid w:val="000D064A"/>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D7A66"/>
    <w:rsid w:val="000D7A8E"/>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AB2"/>
    <w:rsid w:val="000E6C4B"/>
    <w:rsid w:val="000E6E81"/>
    <w:rsid w:val="000E7064"/>
    <w:rsid w:val="000E7AAE"/>
    <w:rsid w:val="000E7C10"/>
    <w:rsid w:val="000E7E6F"/>
    <w:rsid w:val="000F054C"/>
    <w:rsid w:val="000F08B7"/>
    <w:rsid w:val="000F0D1B"/>
    <w:rsid w:val="000F0D54"/>
    <w:rsid w:val="000F118C"/>
    <w:rsid w:val="000F243E"/>
    <w:rsid w:val="000F2762"/>
    <w:rsid w:val="000F300E"/>
    <w:rsid w:val="000F350E"/>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66E"/>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E30"/>
    <w:rsid w:val="00110F91"/>
    <w:rsid w:val="00111158"/>
    <w:rsid w:val="00111BFC"/>
    <w:rsid w:val="00112673"/>
    <w:rsid w:val="001129AD"/>
    <w:rsid w:val="00112A69"/>
    <w:rsid w:val="00112BD5"/>
    <w:rsid w:val="0011315E"/>
    <w:rsid w:val="00113C98"/>
    <w:rsid w:val="00113CD6"/>
    <w:rsid w:val="00113FD4"/>
    <w:rsid w:val="00114A5C"/>
    <w:rsid w:val="00114D16"/>
    <w:rsid w:val="00114D73"/>
    <w:rsid w:val="001150DC"/>
    <w:rsid w:val="001161C3"/>
    <w:rsid w:val="001161FD"/>
    <w:rsid w:val="001165D0"/>
    <w:rsid w:val="00116BF5"/>
    <w:rsid w:val="00116E56"/>
    <w:rsid w:val="001174B9"/>
    <w:rsid w:val="001178AB"/>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6DAF"/>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89F"/>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2C7"/>
    <w:rsid w:val="0014145F"/>
    <w:rsid w:val="001419D8"/>
    <w:rsid w:val="00141B75"/>
    <w:rsid w:val="00142982"/>
    <w:rsid w:val="00142E27"/>
    <w:rsid w:val="00143378"/>
    <w:rsid w:val="0014361C"/>
    <w:rsid w:val="001437A6"/>
    <w:rsid w:val="00143C8B"/>
    <w:rsid w:val="001442B2"/>
    <w:rsid w:val="0014465E"/>
    <w:rsid w:val="001450E5"/>
    <w:rsid w:val="001451FC"/>
    <w:rsid w:val="00145598"/>
    <w:rsid w:val="001455D3"/>
    <w:rsid w:val="00145EB2"/>
    <w:rsid w:val="001464E0"/>
    <w:rsid w:val="001465F5"/>
    <w:rsid w:val="00146F04"/>
    <w:rsid w:val="00147651"/>
    <w:rsid w:val="00147701"/>
    <w:rsid w:val="001478C8"/>
    <w:rsid w:val="00147C38"/>
    <w:rsid w:val="00150194"/>
    <w:rsid w:val="00150387"/>
    <w:rsid w:val="0015171E"/>
    <w:rsid w:val="00151775"/>
    <w:rsid w:val="001517A5"/>
    <w:rsid w:val="001519FC"/>
    <w:rsid w:val="00151C20"/>
    <w:rsid w:val="001522C9"/>
    <w:rsid w:val="001523C9"/>
    <w:rsid w:val="00152632"/>
    <w:rsid w:val="001530A3"/>
    <w:rsid w:val="00154044"/>
    <w:rsid w:val="00154D72"/>
    <w:rsid w:val="00155024"/>
    <w:rsid w:val="0015593E"/>
    <w:rsid w:val="00155E5E"/>
    <w:rsid w:val="00156429"/>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3EB2"/>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12B"/>
    <w:rsid w:val="0018076F"/>
    <w:rsid w:val="0018093F"/>
    <w:rsid w:val="00180BF4"/>
    <w:rsid w:val="001810DD"/>
    <w:rsid w:val="00181357"/>
    <w:rsid w:val="001814A5"/>
    <w:rsid w:val="001827E3"/>
    <w:rsid w:val="00182D14"/>
    <w:rsid w:val="00183041"/>
    <w:rsid w:val="0018336B"/>
    <w:rsid w:val="001836F3"/>
    <w:rsid w:val="00183B7F"/>
    <w:rsid w:val="00183BD1"/>
    <w:rsid w:val="00183E84"/>
    <w:rsid w:val="00184338"/>
    <w:rsid w:val="00184833"/>
    <w:rsid w:val="001851E7"/>
    <w:rsid w:val="0018524C"/>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6A45"/>
    <w:rsid w:val="00197605"/>
    <w:rsid w:val="0019775B"/>
    <w:rsid w:val="00197C41"/>
    <w:rsid w:val="001A026C"/>
    <w:rsid w:val="001A02EF"/>
    <w:rsid w:val="001A06D9"/>
    <w:rsid w:val="001A0EF6"/>
    <w:rsid w:val="001A181C"/>
    <w:rsid w:val="001A1B01"/>
    <w:rsid w:val="001A2C03"/>
    <w:rsid w:val="001A329E"/>
    <w:rsid w:val="001A329F"/>
    <w:rsid w:val="001A36E3"/>
    <w:rsid w:val="001A3A05"/>
    <w:rsid w:val="001A3FF9"/>
    <w:rsid w:val="001A49EF"/>
    <w:rsid w:val="001A4C33"/>
    <w:rsid w:val="001A4C95"/>
    <w:rsid w:val="001A6755"/>
    <w:rsid w:val="001A71F0"/>
    <w:rsid w:val="001A75A9"/>
    <w:rsid w:val="001A75E1"/>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A70"/>
    <w:rsid w:val="001B3ED4"/>
    <w:rsid w:val="001B4152"/>
    <w:rsid w:val="001B46BC"/>
    <w:rsid w:val="001B4760"/>
    <w:rsid w:val="001B4908"/>
    <w:rsid w:val="001B4A5C"/>
    <w:rsid w:val="001B4C2F"/>
    <w:rsid w:val="001B52B0"/>
    <w:rsid w:val="001B5704"/>
    <w:rsid w:val="001B5B65"/>
    <w:rsid w:val="001B67CE"/>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6A3"/>
    <w:rsid w:val="001D1B31"/>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690"/>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85C"/>
    <w:rsid w:val="001F3CF7"/>
    <w:rsid w:val="001F3E28"/>
    <w:rsid w:val="001F3F09"/>
    <w:rsid w:val="001F4437"/>
    <w:rsid w:val="001F4F07"/>
    <w:rsid w:val="001F502F"/>
    <w:rsid w:val="001F5409"/>
    <w:rsid w:val="001F5453"/>
    <w:rsid w:val="001F5669"/>
    <w:rsid w:val="001F6394"/>
    <w:rsid w:val="001F67AF"/>
    <w:rsid w:val="001F6D13"/>
    <w:rsid w:val="00200251"/>
    <w:rsid w:val="00200287"/>
    <w:rsid w:val="00200EB0"/>
    <w:rsid w:val="00200F68"/>
    <w:rsid w:val="0020104E"/>
    <w:rsid w:val="00201055"/>
    <w:rsid w:val="0020107D"/>
    <w:rsid w:val="0020150D"/>
    <w:rsid w:val="00201B06"/>
    <w:rsid w:val="0020274A"/>
    <w:rsid w:val="002036B1"/>
    <w:rsid w:val="00203800"/>
    <w:rsid w:val="00203E65"/>
    <w:rsid w:val="00203FC5"/>
    <w:rsid w:val="002043B6"/>
    <w:rsid w:val="002046CF"/>
    <w:rsid w:val="00204C75"/>
    <w:rsid w:val="002054BA"/>
    <w:rsid w:val="0020567B"/>
    <w:rsid w:val="00205FEC"/>
    <w:rsid w:val="002061CB"/>
    <w:rsid w:val="002071FD"/>
    <w:rsid w:val="00207201"/>
    <w:rsid w:val="002079D8"/>
    <w:rsid w:val="00207B06"/>
    <w:rsid w:val="00207D5E"/>
    <w:rsid w:val="00210601"/>
    <w:rsid w:val="002119DA"/>
    <w:rsid w:val="002119E8"/>
    <w:rsid w:val="00211E66"/>
    <w:rsid w:val="002127E7"/>
    <w:rsid w:val="00212883"/>
    <w:rsid w:val="0021304A"/>
    <w:rsid w:val="00213111"/>
    <w:rsid w:val="0021358B"/>
    <w:rsid w:val="00213C18"/>
    <w:rsid w:val="0021445B"/>
    <w:rsid w:val="00214BB8"/>
    <w:rsid w:val="00214D87"/>
    <w:rsid w:val="00215323"/>
    <w:rsid w:val="00215520"/>
    <w:rsid w:val="00215591"/>
    <w:rsid w:val="00215BBF"/>
    <w:rsid w:val="00216125"/>
    <w:rsid w:val="00216736"/>
    <w:rsid w:val="00216E14"/>
    <w:rsid w:val="002172E7"/>
    <w:rsid w:val="00217C9F"/>
    <w:rsid w:val="00220281"/>
    <w:rsid w:val="002202A2"/>
    <w:rsid w:val="002209F4"/>
    <w:rsid w:val="00221522"/>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25F"/>
    <w:rsid w:val="00234463"/>
    <w:rsid w:val="00234603"/>
    <w:rsid w:val="0023464C"/>
    <w:rsid w:val="00234788"/>
    <w:rsid w:val="002347EE"/>
    <w:rsid w:val="0023484F"/>
    <w:rsid w:val="00234DB7"/>
    <w:rsid w:val="0023575B"/>
    <w:rsid w:val="00235D3B"/>
    <w:rsid w:val="00236085"/>
    <w:rsid w:val="00236686"/>
    <w:rsid w:val="00236EFB"/>
    <w:rsid w:val="00237A99"/>
    <w:rsid w:val="00237B4F"/>
    <w:rsid w:val="00237CCB"/>
    <w:rsid w:val="00237EBE"/>
    <w:rsid w:val="00240208"/>
    <w:rsid w:val="0024057D"/>
    <w:rsid w:val="00240AA3"/>
    <w:rsid w:val="0024116D"/>
    <w:rsid w:val="0024151F"/>
    <w:rsid w:val="00242697"/>
    <w:rsid w:val="002426BF"/>
    <w:rsid w:val="002427FE"/>
    <w:rsid w:val="00242DB7"/>
    <w:rsid w:val="00243827"/>
    <w:rsid w:val="00243836"/>
    <w:rsid w:val="00243A8B"/>
    <w:rsid w:val="00243C9A"/>
    <w:rsid w:val="00243DFD"/>
    <w:rsid w:val="00243F19"/>
    <w:rsid w:val="002443F7"/>
    <w:rsid w:val="002444CA"/>
    <w:rsid w:val="002445B2"/>
    <w:rsid w:val="00244A13"/>
    <w:rsid w:val="00244C2B"/>
    <w:rsid w:val="0024512C"/>
    <w:rsid w:val="00245518"/>
    <w:rsid w:val="0024561A"/>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035"/>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76C"/>
    <w:rsid w:val="00293AC4"/>
    <w:rsid w:val="00293B50"/>
    <w:rsid w:val="002941AD"/>
    <w:rsid w:val="0029502B"/>
    <w:rsid w:val="002950E6"/>
    <w:rsid w:val="00295E8C"/>
    <w:rsid w:val="002960A1"/>
    <w:rsid w:val="00296356"/>
    <w:rsid w:val="00296805"/>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2C4E"/>
    <w:rsid w:val="002A3005"/>
    <w:rsid w:val="002A3019"/>
    <w:rsid w:val="002A36BF"/>
    <w:rsid w:val="002A3950"/>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B6F"/>
    <w:rsid w:val="002B4F06"/>
    <w:rsid w:val="002B4FC2"/>
    <w:rsid w:val="002B527F"/>
    <w:rsid w:val="002B54EC"/>
    <w:rsid w:val="002B5B66"/>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959"/>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ABB"/>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4"/>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BE0"/>
    <w:rsid w:val="00304C32"/>
    <w:rsid w:val="003054F4"/>
    <w:rsid w:val="003057F9"/>
    <w:rsid w:val="00305F51"/>
    <w:rsid w:val="00305F87"/>
    <w:rsid w:val="00306164"/>
    <w:rsid w:val="003061BA"/>
    <w:rsid w:val="003063D7"/>
    <w:rsid w:val="00306660"/>
    <w:rsid w:val="003068F2"/>
    <w:rsid w:val="00306C98"/>
    <w:rsid w:val="003074CB"/>
    <w:rsid w:val="00307732"/>
    <w:rsid w:val="00307E4C"/>
    <w:rsid w:val="00310253"/>
    <w:rsid w:val="00310322"/>
    <w:rsid w:val="00310C67"/>
    <w:rsid w:val="00310F10"/>
    <w:rsid w:val="00311B07"/>
    <w:rsid w:val="00311C33"/>
    <w:rsid w:val="00311F77"/>
    <w:rsid w:val="00311F81"/>
    <w:rsid w:val="0031223A"/>
    <w:rsid w:val="00312326"/>
    <w:rsid w:val="003130C8"/>
    <w:rsid w:val="003135AE"/>
    <w:rsid w:val="003138C0"/>
    <w:rsid w:val="00313AE6"/>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843"/>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0FE"/>
    <w:rsid w:val="00345C68"/>
    <w:rsid w:val="00346796"/>
    <w:rsid w:val="00346944"/>
    <w:rsid w:val="0034715C"/>
    <w:rsid w:val="00347A59"/>
    <w:rsid w:val="003502B1"/>
    <w:rsid w:val="003506C3"/>
    <w:rsid w:val="00350851"/>
    <w:rsid w:val="00350ABB"/>
    <w:rsid w:val="00350C50"/>
    <w:rsid w:val="00350E74"/>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67B"/>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67F04"/>
    <w:rsid w:val="00370523"/>
    <w:rsid w:val="00370DA0"/>
    <w:rsid w:val="00371394"/>
    <w:rsid w:val="00371659"/>
    <w:rsid w:val="0037183A"/>
    <w:rsid w:val="00371F91"/>
    <w:rsid w:val="0037246B"/>
    <w:rsid w:val="00372741"/>
    <w:rsid w:val="00372C35"/>
    <w:rsid w:val="00372FAE"/>
    <w:rsid w:val="003730D7"/>
    <w:rsid w:val="003731D7"/>
    <w:rsid w:val="00373244"/>
    <w:rsid w:val="003734CF"/>
    <w:rsid w:val="0037452A"/>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0BE"/>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4FE9"/>
    <w:rsid w:val="003A53A3"/>
    <w:rsid w:val="003A57D0"/>
    <w:rsid w:val="003A5D2D"/>
    <w:rsid w:val="003A6025"/>
    <w:rsid w:val="003A6933"/>
    <w:rsid w:val="003A6EBF"/>
    <w:rsid w:val="003A7B0F"/>
    <w:rsid w:val="003A7BB7"/>
    <w:rsid w:val="003A7F89"/>
    <w:rsid w:val="003A7FB1"/>
    <w:rsid w:val="003B0667"/>
    <w:rsid w:val="003B18C5"/>
    <w:rsid w:val="003B21F2"/>
    <w:rsid w:val="003B2313"/>
    <w:rsid w:val="003B237A"/>
    <w:rsid w:val="003B25B7"/>
    <w:rsid w:val="003B49F2"/>
    <w:rsid w:val="003B4F73"/>
    <w:rsid w:val="003B53D8"/>
    <w:rsid w:val="003B5D47"/>
    <w:rsid w:val="003B6047"/>
    <w:rsid w:val="003B66C1"/>
    <w:rsid w:val="003B6745"/>
    <w:rsid w:val="003B6B46"/>
    <w:rsid w:val="003B7322"/>
    <w:rsid w:val="003B74B9"/>
    <w:rsid w:val="003B76E8"/>
    <w:rsid w:val="003B7D5F"/>
    <w:rsid w:val="003C0224"/>
    <w:rsid w:val="003C02F9"/>
    <w:rsid w:val="003C0456"/>
    <w:rsid w:val="003C099F"/>
    <w:rsid w:val="003C0A88"/>
    <w:rsid w:val="003C11F0"/>
    <w:rsid w:val="003C1490"/>
    <w:rsid w:val="003C1515"/>
    <w:rsid w:val="003C2124"/>
    <w:rsid w:val="003C255C"/>
    <w:rsid w:val="003C2840"/>
    <w:rsid w:val="003C2ADC"/>
    <w:rsid w:val="003C2EF3"/>
    <w:rsid w:val="003C358F"/>
    <w:rsid w:val="003C3C1E"/>
    <w:rsid w:val="003C4A78"/>
    <w:rsid w:val="003C4ADA"/>
    <w:rsid w:val="003C4C3B"/>
    <w:rsid w:val="003C50B7"/>
    <w:rsid w:val="003C55FB"/>
    <w:rsid w:val="003C5D74"/>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3FEA"/>
    <w:rsid w:val="003D4084"/>
    <w:rsid w:val="003D41A4"/>
    <w:rsid w:val="003D42E9"/>
    <w:rsid w:val="003D47F5"/>
    <w:rsid w:val="003D4EE9"/>
    <w:rsid w:val="003D54DF"/>
    <w:rsid w:val="003D5500"/>
    <w:rsid w:val="003D5DC4"/>
    <w:rsid w:val="003D6981"/>
    <w:rsid w:val="003D6C86"/>
    <w:rsid w:val="003D7486"/>
    <w:rsid w:val="003D75D4"/>
    <w:rsid w:val="003D777E"/>
    <w:rsid w:val="003D7B7C"/>
    <w:rsid w:val="003D7C47"/>
    <w:rsid w:val="003D7DA5"/>
    <w:rsid w:val="003E112E"/>
    <w:rsid w:val="003E11B2"/>
    <w:rsid w:val="003E1226"/>
    <w:rsid w:val="003E153E"/>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589"/>
    <w:rsid w:val="003F1B10"/>
    <w:rsid w:val="003F288A"/>
    <w:rsid w:val="003F2A9E"/>
    <w:rsid w:val="003F319B"/>
    <w:rsid w:val="003F320C"/>
    <w:rsid w:val="003F35DF"/>
    <w:rsid w:val="003F3A21"/>
    <w:rsid w:val="003F3AAC"/>
    <w:rsid w:val="003F3F07"/>
    <w:rsid w:val="003F3F1D"/>
    <w:rsid w:val="003F3F87"/>
    <w:rsid w:val="003F431A"/>
    <w:rsid w:val="003F435C"/>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08A"/>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6DDC"/>
    <w:rsid w:val="004175C1"/>
    <w:rsid w:val="0041784E"/>
    <w:rsid w:val="004201D4"/>
    <w:rsid w:val="00420632"/>
    <w:rsid w:val="00420BD1"/>
    <w:rsid w:val="0042188C"/>
    <w:rsid w:val="00421966"/>
    <w:rsid w:val="004221F2"/>
    <w:rsid w:val="00422919"/>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2E"/>
    <w:rsid w:val="0043533D"/>
    <w:rsid w:val="004354AF"/>
    <w:rsid w:val="00435914"/>
    <w:rsid w:val="00435AAA"/>
    <w:rsid w:val="0043657A"/>
    <w:rsid w:val="004366EC"/>
    <w:rsid w:val="004367B5"/>
    <w:rsid w:val="00436FD2"/>
    <w:rsid w:val="00437115"/>
    <w:rsid w:val="00437957"/>
    <w:rsid w:val="00437D5A"/>
    <w:rsid w:val="004409EA"/>
    <w:rsid w:val="00440B8A"/>
    <w:rsid w:val="004410C3"/>
    <w:rsid w:val="00441B0B"/>
    <w:rsid w:val="00442332"/>
    <w:rsid w:val="0044237A"/>
    <w:rsid w:val="0044269E"/>
    <w:rsid w:val="004426A0"/>
    <w:rsid w:val="00442BF7"/>
    <w:rsid w:val="00442C52"/>
    <w:rsid w:val="00442E74"/>
    <w:rsid w:val="004433D5"/>
    <w:rsid w:val="00443A3A"/>
    <w:rsid w:val="00444C11"/>
    <w:rsid w:val="004453C1"/>
    <w:rsid w:val="004456F2"/>
    <w:rsid w:val="00445FFA"/>
    <w:rsid w:val="0044609C"/>
    <w:rsid w:val="00446450"/>
    <w:rsid w:val="004464F7"/>
    <w:rsid w:val="004465E7"/>
    <w:rsid w:val="0044668A"/>
    <w:rsid w:val="00446825"/>
    <w:rsid w:val="00446FC6"/>
    <w:rsid w:val="00447125"/>
    <w:rsid w:val="004472FE"/>
    <w:rsid w:val="00447A0F"/>
    <w:rsid w:val="00447E27"/>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1EB"/>
    <w:rsid w:val="00455836"/>
    <w:rsid w:val="00455A9D"/>
    <w:rsid w:val="00455AC3"/>
    <w:rsid w:val="00455BE4"/>
    <w:rsid w:val="0045603A"/>
    <w:rsid w:val="004560AF"/>
    <w:rsid w:val="00456282"/>
    <w:rsid w:val="00456300"/>
    <w:rsid w:val="00456608"/>
    <w:rsid w:val="00456676"/>
    <w:rsid w:val="00456830"/>
    <w:rsid w:val="00456A03"/>
    <w:rsid w:val="00457927"/>
    <w:rsid w:val="00460480"/>
    <w:rsid w:val="00460B7D"/>
    <w:rsid w:val="00460CB5"/>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744"/>
    <w:rsid w:val="0047496A"/>
    <w:rsid w:val="00474A24"/>
    <w:rsid w:val="00474CE7"/>
    <w:rsid w:val="00474F19"/>
    <w:rsid w:val="00475DAF"/>
    <w:rsid w:val="00475EBA"/>
    <w:rsid w:val="00475F69"/>
    <w:rsid w:val="0047676B"/>
    <w:rsid w:val="004771C5"/>
    <w:rsid w:val="004808D9"/>
    <w:rsid w:val="004817D7"/>
    <w:rsid w:val="00481B5D"/>
    <w:rsid w:val="00481E50"/>
    <w:rsid w:val="0048253E"/>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E65"/>
    <w:rsid w:val="00487F48"/>
    <w:rsid w:val="0049062E"/>
    <w:rsid w:val="0049094E"/>
    <w:rsid w:val="004910EB"/>
    <w:rsid w:val="00491324"/>
    <w:rsid w:val="00491335"/>
    <w:rsid w:val="0049173D"/>
    <w:rsid w:val="00491A4D"/>
    <w:rsid w:val="00492CF8"/>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1AE"/>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619"/>
    <w:rsid w:val="004B3714"/>
    <w:rsid w:val="004B4396"/>
    <w:rsid w:val="004B4926"/>
    <w:rsid w:val="004B4B87"/>
    <w:rsid w:val="004B50F2"/>
    <w:rsid w:val="004B59B1"/>
    <w:rsid w:val="004B5D9E"/>
    <w:rsid w:val="004B69D9"/>
    <w:rsid w:val="004B6B69"/>
    <w:rsid w:val="004B756C"/>
    <w:rsid w:val="004B77F9"/>
    <w:rsid w:val="004B788E"/>
    <w:rsid w:val="004B797E"/>
    <w:rsid w:val="004B7D29"/>
    <w:rsid w:val="004C0244"/>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C7A"/>
    <w:rsid w:val="004C6F14"/>
    <w:rsid w:val="004C7851"/>
    <w:rsid w:val="004C7FCB"/>
    <w:rsid w:val="004C7FFD"/>
    <w:rsid w:val="004D01A4"/>
    <w:rsid w:val="004D0D7D"/>
    <w:rsid w:val="004D0FA3"/>
    <w:rsid w:val="004D1132"/>
    <w:rsid w:val="004D1293"/>
    <w:rsid w:val="004D1403"/>
    <w:rsid w:val="004D19BE"/>
    <w:rsid w:val="004D1BA4"/>
    <w:rsid w:val="004D21B4"/>
    <w:rsid w:val="004D238B"/>
    <w:rsid w:val="004D27BF"/>
    <w:rsid w:val="004D28D4"/>
    <w:rsid w:val="004D2EF4"/>
    <w:rsid w:val="004D366F"/>
    <w:rsid w:val="004D41A5"/>
    <w:rsid w:val="004D47EC"/>
    <w:rsid w:val="004D483D"/>
    <w:rsid w:val="004D4D04"/>
    <w:rsid w:val="004D54DC"/>
    <w:rsid w:val="004D5E34"/>
    <w:rsid w:val="004D6324"/>
    <w:rsid w:val="004D6C0A"/>
    <w:rsid w:val="004D6F7C"/>
    <w:rsid w:val="004D73C5"/>
    <w:rsid w:val="004D7434"/>
    <w:rsid w:val="004D7538"/>
    <w:rsid w:val="004D7E8D"/>
    <w:rsid w:val="004E0829"/>
    <w:rsid w:val="004E08B4"/>
    <w:rsid w:val="004E0ACE"/>
    <w:rsid w:val="004E0E65"/>
    <w:rsid w:val="004E1276"/>
    <w:rsid w:val="004E2569"/>
    <w:rsid w:val="004E2925"/>
    <w:rsid w:val="004E2BFF"/>
    <w:rsid w:val="004E2C08"/>
    <w:rsid w:val="004E2DCC"/>
    <w:rsid w:val="004E2F10"/>
    <w:rsid w:val="004E2F33"/>
    <w:rsid w:val="004E3AE3"/>
    <w:rsid w:val="004E3AF4"/>
    <w:rsid w:val="004E438E"/>
    <w:rsid w:val="004E4427"/>
    <w:rsid w:val="004E4949"/>
    <w:rsid w:val="004E4D46"/>
    <w:rsid w:val="004E53BC"/>
    <w:rsid w:val="004E5557"/>
    <w:rsid w:val="004E5659"/>
    <w:rsid w:val="004E5768"/>
    <w:rsid w:val="004E57BE"/>
    <w:rsid w:val="004E6241"/>
    <w:rsid w:val="004E6CC8"/>
    <w:rsid w:val="004E6EA2"/>
    <w:rsid w:val="004E6F42"/>
    <w:rsid w:val="004E6FB4"/>
    <w:rsid w:val="004E7102"/>
    <w:rsid w:val="004E75AC"/>
    <w:rsid w:val="004E7DB2"/>
    <w:rsid w:val="004F011D"/>
    <w:rsid w:val="004F0323"/>
    <w:rsid w:val="004F0663"/>
    <w:rsid w:val="004F0B94"/>
    <w:rsid w:val="004F165A"/>
    <w:rsid w:val="004F1A14"/>
    <w:rsid w:val="004F1B58"/>
    <w:rsid w:val="004F2300"/>
    <w:rsid w:val="004F2B3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4CE0"/>
    <w:rsid w:val="005050BD"/>
    <w:rsid w:val="00505582"/>
    <w:rsid w:val="00507AE8"/>
    <w:rsid w:val="00507D85"/>
    <w:rsid w:val="0051057B"/>
    <w:rsid w:val="00510AE5"/>
    <w:rsid w:val="00510D16"/>
    <w:rsid w:val="00511B19"/>
    <w:rsid w:val="00511BCE"/>
    <w:rsid w:val="00511C58"/>
    <w:rsid w:val="00511C87"/>
    <w:rsid w:val="00511F03"/>
    <w:rsid w:val="005123DB"/>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455"/>
    <w:rsid w:val="00516790"/>
    <w:rsid w:val="00516B91"/>
    <w:rsid w:val="00516F7D"/>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810"/>
    <w:rsid w:val="00531999"/>
    <w:rsid w:val="00531AE0"/>
    <w:rsid w:val="00531BEC"/>
    <w:rsid w:val="00531D9A"/>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4E4"/>
    <w:rsid w:val="00553A6E"/>
    <w:rsid w:val="00554548"/>
    <w:rsid w:val="00554BBE"/>
    <w:rsid w:val="00554BC6"/>
    <w:rsid w:val="00554D30"/>
    <w:rsid w:val="00555B25"/>
    <w:rsid w:val="00555E4F"/>
    <w:rsid w:val="00555F74"/>
    <w:rsid w:val="0055685D"/>
    <w:rsid w:val="00556B02"/>
    <w:rsid w:val="00556D6D"/>
    <w:rsid w:val="00556E19"/>
    <w:rsid w:val="00556ED6"/>
    <w:rsid w:val="00557455"/>
    <w:rsid w:val="0055758E"/>
    <w:rsid w:val="005576F8"/>
    <w:rsid w:val="0055776D"/>
    <w:rsid w:val="0055790A"/>
    <w:rsid w:val="00560497"/>
    <w:rsid w:val="005619B8"/>
    <w:rsid w:val="005624FD"/>
    <w:rsid w:val="0056270F"/>
    <w:rsid w:val="005633BC"/>
    <w:rsid w:val="00563958"/>
    <w:rsid w:val="005644AF"/>
    <w:rsid w:val="00565621"/>
    <w:rsid w:val="00565945"/>
    <w:rsid w:val="00565BA3"/>
    <w:rsid w:val="00565E5B"/>
    <w:rsid w:val="00567890"/>
    <w:rsid w:val="005708C7"/>
    <w:rsid w:val="005713DE"/>
    <w:rsid w:val="005714E1"/>
    <w:rsid w:val="00572EAB"/>
    <w:rsid w:val="00572FDB"/>
    <w:rsid w:val="00572FFE"/>
    <w:rsid w:val="00573262"/>
    <w:rsid w:val="0057381D"/>
    <w:rsid w:val="00573B0C"/>
    <w:rsid w:val="00575081"/>
    <w:rsid w:val="00575E74"/>
    <w:rsid w:val="00575F0A"/>
    <w:rsid w:val="005772AF"/>
    <w:rsid w:val="00577B35"/>
    <w:rsid w:val="005800A3"/>
    <w:rsid w:val="005800EC"/>
    <w:rsid w:val="005803D5"/>
    <w:rsid w:val="0058097A"/>
    <w:rsid w:val="00580F62"/>
    <w:rsid w:val="00581057"/>
    <w:rsid w:val="00581DFC"/>
    <w:rsid w:val="00582442"/>
    <w:rsid w:val="0058274D"/>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0B8F"/>
    <w:rsid w:val="005910A6"/>
    <w:rsid w:val="0059157A"/>
    <w:rsid w:val="005918BB"/>
    <w:rsid w:val="00591B52"/>
    <w:rsid w:val="0059272F"/>
    <w:rsid w:val="00592E72"/>
    <w:rsid w:val="005931CB"/>
    <w:rsid w:val="0059329C"/>
    <w:rsid w:val="005933DE"/>
    <w:rsid w:val="0059359E"/>
    <w:rsid w:val="005940B9"/>
    <w:rsid w:val="00594D31"/>
    <w:rsid w:val="00594EB9"/>
    <w:rsid w:val="005950ED"/>
    <w:rsid w:val="00595DDF"/>
    <w:rsid w:val="005961BF"/>
    <w:rsid w:val="00596B73"/>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0D13"/>
    <w:rsid w:val="005B1318"/>
    <w:rsid w:val="005B1C19"/>
    <w:rsid w:val="005B2746"/>
    <w:rsid w:val="005B2AF2"/>
    <w:rsid w:val="005B372C"/>
    <w:rsid w:val="005B4046"/>
    <w:rsid w:val="005B454C"/>
    <w:rsid w:val="005B469D"/>
    <w:rsid w:val="005B4F10"/>
    <w:rsid w:val="005B5005"/>
    <w:rsid w:val="005B506C"/>
    <w:rsid w:val="005B50AB"/>
    <w:rsid w:val="005B5121"/>
    <w:rsid w:val="005B523B"/>
    <w:rsid w:val="005B5BFF"/>
    <w:rsid w:val="005B6037"/>
    <w:rsid w:val="005B6158"/>
    <w:rsid w:val="005B61D4"/>
    <w:rsid w:val="005B62F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1DF"/>
    <w:rsid w:val="005C63AC"/>
    <w:rsid w:val="005C6452"/>
    <w:rsid w:val="005C66BF"/>
    <w:rsid w:val="005C6E3C"/>
    <w:rsid w:val="005C73E2"/>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66C"/>
    <w:rsid w:val="005E4754"/>
    <w:rsid w:val="005E4B76"/>
    <w:rsid w:val="005E4BD1"/>
    <w:rsid w:val="005E55E1"/>
    <w:rsid w:val="005E57E4"/>
    <w:rsid w:val="005E599C"/>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779"/>
    <w:rsid w:val="0060181A"/>
    <w:rsid w:val="00603132"/>
    <w:rsid w:val="00603688"/>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3F83"/>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B5"/>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0AA"/>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378FD"/>
    <w:rsid w:val="00637FC1"/>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168"/>
    <w:rsid w:val="006507A4"/>
    <w:rsid w:val="00650983"/>
    <w:rsid w:val="00651965"/>
    <w:rsid w:val="00651A4E"/>
    <w:rsid w:val="006524BA"/>
    <w:rsid w:val="00652A79"/>
    <w:rsid w:val="00652E3B"/>
    <w:rsid w:val="00654756"/>
    <w:rsid w:val="0065499F"/>
    <w:rsid w:val="00654A26"/>
    <w:rsid w:val="00654A68"/>
    <w:rsid w:val="0065511E"/>
    <w:rsid w:val="00655B9F"/>
    <w:rsid w:val="00655DB4"/>
    <w:rsid w:val="00655E13"/>
    <w:rsid w:val="00656270"/>
    <w:rsid w:val="00656617"/>
    <w:rsid w:val="00657004"/>
    <w:rsid w:val="006573FC"/>
    <w:rsid w:val="0065747A"/>
    <w:rsid w:val="00657EE0"/>
    <w:rsid w:val="00657F75"/>
    <w:rsid w:val="0066000D"/>
    <w:rsid w:val="0066004D"/>
    <w:rsid w:val="00660EA5"/>
    <w:rsid w:val="00660FA8"/>
    <w:rsid w:val="00661034"/>
    <w:rsid w:val="00661848"/>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752"/>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77B3F"/>
    <w:rsid w:val="00680F5B"/>
    <w:rsid w:val="00681097"/>
    <w:rsid w:val="00681C21"/>
    <w:rsid w:val="00681D0B"/>
    <w:rsid w:val="0068219D"/>
    <w:rsid w:val="00683074"/>
    <w:rsid w:val="006839D6"/>
    <w:rsid w:val="0068408C"/>
    <w:rsid w:val="006841CB"/>
    <w:rsid w:val="006843B9"/>
    <w:rsid w:val="006843BC"/>
    <w:rsid w:val="00685236"/>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717"/>
    <w:rsid w:val="00694961"/>
    <w:rsid w:val="00694B3F"/>
    <w:rsid w:val="00694BDD"/>
    <w:rsid w:val="00695497"/>
    <w:rsid w:val="00695C22"/>
    <w:rsid w:val="006965D0"/>
    <w:rsid w:val="006968B8"/>
    <w:rsid w:val="00696975"/>
    <w:rsid w:val="00697837"/>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5B28"/>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B77D0"/>
    <w:rsid w:val="006C0009"/>
    <w:rsid w:val="006C0012"/>
    <w:rsid w:val="006C0094"/>
    <w:rsid w:val="006C154D"/>
    <w:rsid w:val="006C17A5"/>
    <w:rsid w:val="006C17D4"/>
    <w:rsid w:val="006C2094"/>
    <w:rsid w:val="006C278C"/>
    <w:rsid w:val="006C315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5884"/>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172"/>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168"/>
    <w:rsid w:val="00707503"/>
    <w:rsid w:val="00707543"/>
    <w:rsid w:val="007075E7"/>
    <w:rsid w:val="00707AC2"/>
    <w:rsid w:val="00707B73"/>
    <w:rsid w:val="00707D21"/>
    <w:rsid w:val="00710D00"/>
    <w:rsid w:val="0071150C"/>
    <w:rsid w:val="007122CE"/>
    <w:rsid w:val="007130F2"/>
    <w:rsid w:val="007133B2"/>
    <w:rsid w:val="00713679"/>
    <w:rsid w:val="00714096"/>
    <w:rsid w:val="007146DB"/>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B26"/>
    <w:rsid w:val="00724EA0"/>
    <w:rsid w:val="0072544D"/>
    <w:rsid w:val="00725BD7"/>
    <w:rsid w:val="0072663D"/>
    <w:rsid w:val="00726669"/>
    <w:rsid w:val="00726EE9"/>
    <w:rsid w:val="00727EFD"/>
    <w:rsid w:val="00731814"/>
    <w:rsid w:val="007324F1"/>
    <w:rsid w:val="00732907"/>
    <w:rsid w:val="00732ABB"/>
    <w:rsid w:val="00733319"/>
    <w:rsid w:val="00733410"/>
    <w:rsid w:val="00734BB9"/>
    <w:rsid w:val="0073511B"/>
    <w:rsid w:val="007356A8"/>
    <w:rsid w:val="00736205"/>
    <w:rsid w:val="00736770"/>
    <w:rsid w:val="00736C7A"/>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CDE"/>
    <w:rsid w:val="00750E32"/>
    <w:rsid w:val="00751576"/>
    <w:rsid w:val="007516E8"/>
    <w:rsid w:val="00751F63"/>
    <w:rsid w:val="00752825"/>
    <w:rsid w:val="00752C6B"/>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364"/>
    <w:rsid w:val="00764C09"/>
    <w:rsid w:val="00764DD5"/>
    <w:rsid w:val="007652CC"/>
    <w:rsid w:val="00765CC8"/>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77FD3"/>
    <w:rsid w:val="0078093B"/>
    <w:rsid w:val="00780FB8"/>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5F55"/>
    <w:rsid w:val="00796F20"/>
    <w:rsid w:val="00796F98"/>
    <w:rsid w:val="00796FE0"/>
    <w:rsid w:val="0079730A"/>
    <w:rsid w:val="007974F7"/>
    <w:rsid w:val="00797CEB"/>
    <w:rsid w:val="007A1200"/>
    <w:rsid w:val="007A15B1"/>
    <w:rsid w:val="007A1707"/>
    <w:rsid w:val="007A1F5E"/>
    <w:rsid w:val="007A21C7"/>
    <w:rsid w:val="007A24B4"/>
    <w:rsid w:val="007A2D4D"/>
    <w:rsid w:val="007A2F26"/>
    <w:rsid w:val="007A393A"/>
    <w:rsid w:val="007A3B44"/>
    <w:rsid w:val="007A43D1"/>
    <w:rsid w:val="007A44B9"/>
    <w:rsid w:val="007A51E6"/>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3F71"/>
    <w:rsid w:val="007B419C"/>
    <w:rsid w:val="007B4346"/>
    <w:rsid w:val="007B467F"/>
    <w:rsid w:val="007B492B"/>
    <w:rsid w:val="007B50E1"/>
    <w:rsid w:val="007B5C68"/>
    <w:rsid w:val="007B5E89"/>
    <w:rsid w:val="007B644E"/>
    <w:rsid w:val="007B67FC"/>
    <w:rsid w:val="007B7B6C"/>
    <w:rsid w:val="007B7E67"/>
    <w:rsid w:val="007B7FDE"/>
    <w:rsid w:val="007C1168"/>
    <w:rsid w:val="007C173A"/>
    <w:rsid w:val="007C17F3"/>
    <w:rsid w:val="007C24DD"/>
    <w:rsid w:val="007C2F26"/>
    <w:rsid w:val="007C347D"/>
    <w:rsid w:val="007C3543"/>
    <w:rsid w:val="007C3B46"/>
    <w:rsid w:val="007C3C63"/>
    <w:rsid w:val="007C40CC"/>
    <w:rsid w:val="007C4522"/>
    <w:rsid w:val="007C542B"/>
    <w:rsid w:val="007C55B4"/>
    <w:rsid w:val="007C567E"/>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831"/>
    <w:rsid w:val="007D3F22"/>
    <w:rsid w:val="007D3F6C"/>
    <w:rsid w:val="007D49E1"/>
    <w:rsid w:val="007D51D2"/>
    <w:rsid w:val="007D57DC"/>
    <w:rsid w:val="007D60D9"/>
    <w:rsid w:val="007D60EF"/>
    <w:rsid w:val="007D6AC6"/>
    <w:rsid w:val="007D6D72"/>
    <w:rsid w:val="007D70F7"/>
    <w:rsid w:val="007D7134"/>
    <w:rsid w:val="007D75C0"/>
    <w:rsid w:val="007D775C"/>
    <w:rsid w:val="007D78D3"/>
    <w:rsid w:val="007D7F1A"/>
    <w:rsid w:val="007E0D85"/>
    <w:rsid w:val="007E0FF1"/>
    <w:rsid w:val="007E3569"/>
    <w:rsid w:val="007E3B03"/>
    <w:rsid w:val="007E3F0E"/>
    <w:rsid w:val="007E43C3"/>
    <w:rsid w:val="007E4F0C"/>
    <w:rsid w:val="007E4F6E"/>
    <w:rsid w:val="007E5724"/>
    <w:rsid w:val="007E583A"/>
    <w:rsid w:val="007E5949"/>
    <w:rsid w:val="007E5A5C"/>
    <w:rsid w:val="007E5FF3"/>
    <w:rsid w:val="007E6507"/>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0B0A"/>
    <w:rsid w:val="00801346"/>
    <w:rsid w:val="008014E8"/>
    <w:rsid w:val="00802214"/>
    <w:rsid w:val="00802879"/>
    <w:rsid w:val="00803451"/>
    <w:rsid w:val="00803530"/>
    <w:rsid w:val="00804713"/>
    <w:rsid w:val="0080481D"/>
    <w:rsid w:val="00804A0E"/>
    <w:rsid w:val="00804C66"/>
    <w:rsid w:val="008051A9"/>
    <w:rsid w:val="008062EF"/>
    <w:rsid w:val="008064D0"/>
    <w:rsid w:val="00806953"/>
    <w:rsid w:val="00806D55"/>
    <w:rsid w:val="00806D5D"/>
    <w:rsid w:val="00807971"/>
    <w:rsid w:val="00807B1F"/>
    <w:rsid w:val="00807BD2"/>
    <w:rsid w:val="00810453"/>
    <w:rsid w:val="0081081F"/>
    <w:rsid w:val="00810960"/>
    <w:rsid w:val="00811041"/>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12"/>
    <w:rsid w:val="008220B4"/>
    <w:rsid w:val="00822293"/>
    <w:rsid w:val="0082235A"/>
    <w:rsid w:val="00822F0D"/>
    <w:rsid w:val="00823853"/>
    <w:rsid w:val="00823C4D"/>
    <w:rsid w:val="00823D16"/>
    <w:rsid w:val="00824119"/>
    <w:rsid w:val="00824AA0"/>
    <w:rsid w:val="00824CE3"/>
    <w:rsid w:val="00824EE4"/>
    <w:rsid w:val="00825A43"/>
    <w:rsid w:val="00825BD7"/>
    <w:rsid w:val="0082638D"/>
    <w:rsid w:val="008264BB"/>
    <w:rsid w:val="00826B61"/>
    <w:rsid w:val="00827384"/>
    <w:rsid w:val="00827ABC"/>
    <w:rsid w:val="00827ED2"/>
    <w:rsid w:val="00830277"/>
    <w:rsid w:val="00830D3C"/>
    <w:rsid w:val="00830E00"/>
    <w:rsid w:val="008311CB"/>
    <w:rsid w:val="0083162E"/>
    <w:rsid w:val="008318DA"/>
    <w:rsid w:val="00831BC7"/>
    <w:rsid w:val="0083261A"/>
    <w:rsid w:val="008328B4"/>
    <w:rsid w:val="0083356F"/>
    <w:rsid w:val="00833766"/>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6EB8"/>
    <w:rsid w:val="0083711E"/>
    <w:rsid w:val="0083713C"/>
    <w:rsid w:val="00837C19"/>
    <w:rsid w:val="00837EFF"/>
    <w:rsid w:val="00840169"/>
    <w:rsid w:val="00840677"/>
    <w:rsid w:val="00840BDA"/>
    <w:rsid w:val="008412CD"/>
    <w:rsid w:val="008414E0"/>
    <w:rsid w:val="008414E7"/>
    <w:rsid w:val="00841CED"/>
    <w:rsid w:val="00841DCC"/>
    <w:rsid w:val="00841FF5"/>
    <w:rsid w:val="00842394"/>
    <w:rsid w:val="00842BDD"/>
    <w:rsid w:val="00842ED6"/>
    <w:rsid w:val="008433B6"/>
    <w:rsid w:val="00843A8B"/>
    <w:rsid w:val="008444FC"/>
    <w:rsid w:val="00844775"/>
    <w:rsid w:val="00844873"/>
    <w:rsid w:val="008451F4"/>
    <w:rsid w:val="00845C8C"/>
    <w:rsid w:val="00845DBB"/>
    <w:rsid w:val="00845DDE"/>
    <w:rsid w:val="00845F51"/>
    <w:rsid w:val="008461C1"/>
    <w:rsid w:val="00846B91"/>
    <w:rsid w:val="00846FBB"/>
    <w:rsid w:val="00846FC4"/>
    <w:rsid w:val="00847349"/>
    <w:rsid w:val="00847867"/>
    <w:rsid w:val="00847943"/>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481C"/>
    <w:rsid w:val="00855128"/>
    <w:rsid w:val="00856038"/>
    <w:rsid w:val="0085644F"/>
    <w:rsid w:val="008568C7"/>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09D1"/>
    <w:rsid w:val="0089137E"/>
    <w:rsid w:val="00891D6E"/>
    <w:rsid w:val="00892191"/>
    <w:rsid w:val="008933D5"/>
    <w:rsid w:val="00893743"/>
    <w:rsid w:val="00893CF6"/>
    <w:rsid w:val="008940E2"/>
    <w:rsid w:val="008940E9"/>
    <w:rsid w:val="00894144"/>
    <w:rsid w:val="0089480E"/>
    <w:rsid w:val="0089481E"/>
    <w:rsid w:val="008958FE"/>
    <w:rsid w:val="008969C7"/>
    <w:rsid w:val="00896A05"/>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755"/>
    <w:rsid w:val="008B0ECA"/>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0A"/>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B46"/>
    <w:rsid w:val="008E5FF0"/>
    <w:rsid w:val="008E7087"/>
    <w:rsid w:val="008E7154"/>
    <w:rsid w:val="008E7875"/>
    <w:rsid w:val="008E79DF"/>
    <w:rsid w:val="008E7DDB"/>
    <w:rsid w:val="008F042C"/>
    <w:rsid w:val="008F04DF"/>
    <w:rsid w:val="008F08BC"/>
    <w:rsid w:val="008F1A2F"/>
    <w:rsid w:val="008F1A9F"/>
    <w:rsid w:val="008F1EEF"/>
    <w:rsid w:val="008F20C9"/>
    <w:rsid w:val="008F2351"/>
    <w:rsid w:val="008F2883"/>
    <w:rsid w:val="008F345C"/>
    <w:rsid w:val="008F3845"/>
    <w:rsid w:val="008F4069"/>
    <w:rsid w:val="008F46F4"/>
    <w:rsid w:val="008F4D6A"/>
    <w:rsid w:val="008F4EAB"/>
    <w:rsid w:val="008F5C76"/>
    <w:rsid w:val="008F5D02"/>
    <w:rsid w:val="008F658A"/>
    <w:rsid w:val="008F6622"/>
    <w:rsid w:val="008F668C"/>
    <w:rsid w:val="008F6C86"/>
    <w:rsid w:val="008F6EC1"/>
    <w:rsid w:val="008F6F92"/>
    <w:rsid w:val="008F71A9"/>
    <w:rsid w:val="008F781D"/>
    <w:rsid w:val="008F7855"/>
    <w:rsid w:val="008F7BED"/>
    <w:rsid w:val="008F7F1F"/>
    <w:rsid w:val="009000A3"/>
    <w:rsid w:val="009000CC"/>
    <w:rsid w:val="00901F47"/>
    <w:rsid w:val="00902811"/>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237"/>
    <w:rsid w:val="0091236D"/>
    <w:rsid w:val="00912466"/>
    <w:rsid w:val="009124C0"/>
    <w:rsid w:val="009128AA"/>
    <w:rsid w:val="00912C41"/>
    <w:rsid w:val="00912E64"/>
    <w:rsid w:val="00913BDC"/>
    <w:rsid w:val="00914337"/>
    <w:rsid w:val="0091441B"/>
    <w:rsid w:val="00914757"/>
    <w:rsid w:val="00914A7E"/>
    <w:rsid w:val="009151E2"/>
    <w:rsid w:val="009154A4"/>
    <w:rsid w:val="009158B8"/>
    <w:rsid w:val="0091628B"/>
    <w:rsid w:val="00917E8A"/>
    <w:rsid w:val="0092075F"/>
    <w:rsid w:val="0092165D"/>
    <w:rsid w:val="00922400"/>
    <w:rsid w:val="00922C5B"/>
    <w:rsid w:val="00923091"/>
    <w:rsid w:val="00923430"/>
    <w:rsid w:val="009236E7"/>
    <w:rsid w:val="009237AC"/>
    <w:rsid w:val="00923B45"/>
    <w:rsid w:val="00923F12"/>
    <w:rsid w:val="00924655"/>
    <w:rsid w:val="00924B54"/>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453"/>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2E45"/>
    <w:rsid w:val="00942E9D"/>
    <w:rsid w:val="009432A1"/>
    <w:rsid w:val="00943F78"/>
    <w:rsid w:val="00943F95"/>
    <w:rsid w:val="009445B2"/>
    <w:rsid w:val="009447F7"/>
    <w:rsid w:val="00944C51"/>
    <w:rsid w:val="00944E6E"/>
    <w:rsid w:val="009451D0"/>
    <w:rsid w:val="0094535F"/>
    <w:rsid w:val="00945855"/>
    <w:rsid w:val="00945D56"/>
    <w:rsid w:val="00945EB3"/>
    <w:rsid w:val="009460EF"/>
    <w:rsid w:val="00946B6C"/>
    <w:rsid w:val="00947190"/>
    <w:rsid w:val="009479FC"/>
    <w:rsid w:val="00947C83"/>
    <w:rsid w:val="00950250"/>
    <w:rsid w:val="00950B97"/>
    <w:rsid w:val="00950C17"/>
    <w:rsid w:val="00950FD4"/>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5E30"/>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686F"/>
    <w:rsid w:val="0097725E"/>
    <w:rsid w:val="00977568"/>
    <w:rsid w:val="009778FA"/>
    <w:rsid w:val="00980630"/>
    <w:rsid w:val="009806E4"/>
    <w:rsid w:val="0098092C"/>
    <w:rsid w:val="00980D43"/>
    <w:rsid w:val="00980EEC"/>
    <w:rsid w:val="0098144C"/>
    <w:rsid w:val="00981CD1"/>
    <w:rsid w:val="0098298C"/>
    <w:rsid w:val="009829E4"/>
    <w:rsid w:val="00983CAE"/>
    <w:rsid w:val="00983CB8"/>
    <w:rsid w:val="00984524"/>
    <w:rsid w:val="00984850"/>
    <w:rsid w:val="009848C9"/>
    <w:rsid w:val="00984E93"/>
    <w:rsid w:val="009852E7"/>
    <w:rsid w:val="00986608"/>
    <w:rsid w:val="00986852"/>
    <w:rsid w:val="009869F7"/>
    <w:rsid w:val="00986A49"/>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97EAF"/>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6E0E"/>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197F"/>
    <w:rsid w:val="009C261A"/>
    <w:rsid w:val="009C2BE8"/>
    <w:rsid w:val="009C2E4D"/>
    <w:rsid w:val="009C30FD"/>
    <w:rsid w:val="009C36D3"/>
    <w:rsid w:val="009C3794"/>
    <w:rsid w:val="009C3938"/>
    <w:rsid w:val="009C3A6F"/>
    <w:rsid w:val="009C4CFD"/>
    <w:rsid w:val="009C4D6B"/>
    <w:rsid w:val="009C501C"/>
    <w:rsid w:val="009C5147"/>
    <w:rsid w:val="009C5A08"/>
    <w:rsid w:val="009C6038"/>
    <w:rsid w:val="009C62C8"/>
    <w:rsid w:val="009C65F2"/>
    <w:rsid w:val="009C6A1E"/>
    <w:rsid w:val="009C7059"/>
    <w:rsid w:val="009C73CB"/>
    <w:rsid w:val="009C74E7"/>
    <w:rsid w:val="009C792F"/>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9F"/>
    <w:rsid w:val="00A021B3"/>
    <w:rsid w:val="00A023B5"/>
    <w:rsid w:val="00A02612"/>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0940"/>
    <w:rsid w:val="00A110B3"/>
    <w:rsid w:val="00A119E4"/>
    <w:rsid w:val="00A11E95"/>
    <w:rsid w:val="00A1224D"/>
    <w:rsid w:val="00A12535"/>
    <w:rsid w:val="00A1293E"/>
    <w:rsid w:val="00A129BC"/>
    <w:rsid w:val="00A12A29"/>
    <w:rsid w:val="00A13880"/>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483"/>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27938"/>
    <w:rsid w:val="00A3069D"/>
    <w:rsid w:val="00A31589"/>
    <w:rsid w:val="00A31C70"/>
    <w:rsid w:val="00A31FB8"/>
    <w:rsid w:val="00A32A61"/>
    <w:rsid w:val="00A32A7C"/>
    <w:rsid w:val="00A32BF8"/>
    <w:rsid w:val="00A32CE6"/>
    <w:rsid w:val="00A3300B"/>
    <w:rsid w:val="00A3319F"/>
    <w:rsid w:val="00A3356D"/>
    <w:rsid w:val="00A3455B"/>
    <w:rsid w:val="00A34BD8"/>
    <w:rsid w:val="00A34C40"/>
    <w:rsid w:val="00A35CEA"/>
    <w:rsid w:val="00A35D7B"/>
    <w:rsid w:val="00A36D79"/>
    <w:rsid w:val="00A379E0"/>
    <w:rsid w:val="00A408A5"/>
    <w:rsid w:val="00A40C78"/>
    <w:rsid w:val="00A40DEB"/>
    <w:rsid w:val="00A41001"/>
    <w:rsid w:val="00A417E4"/>
    <w:rsid w:val="00A4215C"/>
    <w:rsid w:val="00A42700"/>
    <w:rsid w:val="00A42D05"/>
    <w:rsid w:val="00A430AC"/>
    <w:rsid w:val="00A43D1C"/>
    <w:rsid w:val="00A43EF2"/>
    <w:rsid w:val="00A440FA"/>
    <w:rsid w:val="00A44681"/>
    <w:rsid w:val="00A44C91"/>
    <w:rsid w:val="00A44D38"/>
    <w:rsid w:val="00A45290"/>
    <w:rsid w:val="00A4556A"/>
    <w:rsid w:val="00A45CED"/>
    <w:rsid w:val="00A460AC"/>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A9D"/>
    <w:rsid w:val="00A54D2A"/>
    <w:rsid w:val="00A554AC"/>
    <w:rsid w:val="00A55E6E"/>
    <w:rsid w:val="00A5631F"/>
    <w:rsid w:val="00A56AA0"/>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66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0E9C"/>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8E7"/>
    <w:rsid w:val="00AA0C27"/>
    <w:rsid w:val="00AA116D"/>
    <w:rsid w:val="00AA14A4"/>
    <w:rsid w:val="00AA19AF"/>
    <w:rsid w:val="00AA1EBE"/>
    <w:rsid w:val="00AA2018"/>
    <w:rsid w:val="00AA25A7"/>
    <w:rsid w:val="00AA2E87"/>
    <w:rsid w:val="00AA3068"/>
    <w:rsid w:val="00AA34E9"/>
    <w:rsid w:val="00AA3B1F"/>
    <w:rsid w:val="00AA425E"/>
    <w:rsid w:val="00AA596D"/>
    <w:rsid w:val="00AA5ADE"/>
    <w:rsid w:val="00AA5B21"/>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1E68"/>
    <w:rsid w:val="00AB2428"/>
    <w:rsid w:val="00AB2812"/>
    <w:rsid w:val="00AB42EB"/>
    <w:rsid w:val="00AB47C4"/>
    <w:rsid w:val="00AB4DD0"/>
    <w:rsid w:val="00AB4E36"/>
    <w:rsid w:val="00AB5332"/>
    <w:rsid w:val="00AB5599"/>
    <w:rsid w:val="00AB5917"/>
    <w:rsid w:val="00AB59BA"/>
    <w:rsid w:val="00AB5B6A"/>
    <w:rsid w:val="00AB5C7D"/>
    <w:rsid w:val="00AB5E61"/>
    <w:rsid w:val="00AB6039"/>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144"/>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660E"/>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95E"/>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48F"/>
    <w:rsid w:val="00B018EF"/>
    <w:rsid w:val="00B019CA"/>
    <w:rsid w:val="00B023A3"/>
    <w:rsid w:val="00B027FA"/>
    <w:rsid w:val="00B0286A"/>
    <w:rsid w:val="00B029DE"/>
    <w:rsid w:val="00B02CA5"/>
    <w:rsid w:val="00B03222"/>
    <w:rsid w:val="00B0328E"/>
    <w:rsid w:val="00B03482"/>
    <w:rsid w:val="00B04305"/>
    <w:rsid w:val="00B04A42"/>
    <w:rsid w:val="00B04DCE"/>
    <w:rsid w:val="00B05656"/>
    <w:rsid w:val="00B05FEF"/>
    <w:rsid w:val="00B06B99"/>
    <w:rsid w:val="00B07A2E"/>
    <w:rsid w:val="00B10839"/>
    <w:rsid w:val="00B10857"/>
    <w:rsid w:val="00B1119D"/>
    <w:rsid w:val="00B111B4"/>
    <w:rsid w:val="00B11666"/>
    <w:rsid w:val="00B11D63"/>
    <w:rsid w:val="00B129BF"/>
    <w:rsid w:val="00B12C7D"/>
    <w:rsid w:val="00B13052"/>
    <w:rsid w:val="00B132FC"/>
    <w:rsid w:val="00B13583"/>
    <w:rsid w:val="00B14857"/>
    <w:rsid w:val="00B151FD"/>
    <w:rsid w:val="00B154A6"/>
    <w:rsid w:val="00B15B68"/>
    <w:rsid w:val="00B16173"/>
    <w:rsid w:val="00B1631C"/>
    <w:rsid w:val="00B165FD"/>
    <w:rsid w:val="00B167BF"/>
    <w:rsid w:val="00B16A30"/>
    <w:rsid w:val="00B16AF2"/>
    <w:rsid w:val="00B175BB"/>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3D2E"/>
    <w:rsid w:val="00B241BF"/>
    <w:rsid w:val="00B247A1"/>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0C9"/>
    <w:rsid w:val="00B33452"/>
    <w:rsid w:val="00B33688"/>
    <w:rsid w:val="00B338CD"/>
    <w:rsid w:val="00B33B23"/>
    <w:rsid w:val="00B3425A"/>
    <w:rsid w:val="00B34946"/>
    <w:rsid w:val="00B35280"/>
    <w:rsid w:val="00B35400"/>
    <w:rsid w:val="00B359B1"/>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D6C"/>
    <w:rsid w:val="00B45DBC"/>
    <w:rsid w:val="00B46039"/>
    <w:rsid w:val="00B464EF"/>
    <w:rsid w:val="00B4711E"/>
    <w:rsid w:val="00B47F86"/>
    <w:rsid w:val="00B50213"/>
    <w:rsid w:val="00B50370"/>
    <w:rsid w:val="00B50701"/>
    <w:rsid w:val="00B50F80"/>
    <w:rsid w:val="00B513D9"/>
    <w:rsid w:val="00B515C3"/>
    <w:rsid w:val="00B5163C"/>
    <w:rsid w:val="00B51ACE"/>
    <w:rsid w:val="00B51B94"/>
    <w:rsid w:val="00B51F75"/>
    <w:rsid w:val="00B52161"/>
    <w:rsid w:val="00B5239E"/>
    <w:rsid w:val="00B52982"/>
    <w:rsid w:val="00B52B4B"/>
    <w:rsid w:val="00B52B5E"/>
    <w:rsid w:val="00B52BDD"/>
    <w:rsid w:val="00B52C2D"/>
    <w:rsid w:val="00B52C93"/>
    <w:rsid w:val="00B53231"/>
    <w:rsid w:val="00B53341"/>
    <w:rsid w:val="00B535AB"/>
    <w:rsid w:val="00B53BA7"/>
    <w:rsid w:val="00B5450C"/>
    <w:rsid w:val="00B54669"/>
    <w:rsid w:val="00B5492E"/>
    <w:rsid w:val="00B54D9B"/>
    <w:rsid w:val="00B55360"/>
    <w:rsid w:val="00B554A1"/>
    <w:rsid w:val="00B558B9"/>
    <w:rsid w:val="00B55933"/>
    <w:rsid w:val="00B55B75"/>
    <w:rsid w:val="00B56EF6"/>
    <w:rsid w:val="00B56F90"/>
    <w:rsid w:val="00B5782C"/>
    <w:rsid w:val="00B57AD9"/>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6659"/>
    <w:rsid w:val="00B67888"/>
    <w:rsid w:val="00B67AD2"/>
    <w:rsid w:val="00B67C4D"/>
    <w:rsid w:val="00B67F47"/>
    <w:rsid w:val="00B704C9"/>
    <w:rsid w:val="00B70ADF"/>
    <w:rsid w:val="00B70C75"/>
    <w:rsid w:val="00B70E52"/>
    <w:rsid w:val="00B71376"/>
    <w:rsid w:val="00B71466"/>
    <w:rsid w:val="00B71524"/>
    <w:rsid w:val="00B7170C"/>
    <w:rsid w:val="00B724B0"/>
    <w:rsid w:val="00B728A4"/>
    <w:rsid w:val="00B72E05"/>
    <w:rsid w:val="00B73591"/>
    <w:rsid w:val="00B737F3"/>
    <w:rsid w:val="00B73A91"/>
    <w:rsid w:val="00B73E47"/>
    <w:rsid w:val="00B74944"/>
    <w:rsid w:val="00B749FB"/>
    <w:rsid w:val="00B75D64"/>
    <w:rsid w:val="00B75F08"/>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597A"/>
    <w:rsid w:val="00B961F6"/>
    <w:rsid w:val="00B9657B"/>
    <w:rsid w:val="00B9665A"/>
    <w:rsid w:val="00B9678F"/>
    <w:rsid w:val="00B96A6A"/>
    <w:rsid w:val="00B96B33"/>
    <w:rsid w:val="00B976D9"/>
    <w:rsid w:val="00B97A3A"/>
    <w:rsid w:val="00B97A86"/>
    <w:rsid w:val="00BA02D2"/>
    <w:rsid w:val="00BA098E"/>
    <w:rsid w:val="00BA146A"/>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6E9"/>
    <w:rsid w:val="00BA6A5A"/>
    <w:rsid w:val="00BA6B7B"/>
    <w:rsid w:val="00BA6FDE"/>
    <w:rsid w:val="00BB03A5"/>
    <w:rsid w:val="00BB0468"/>
    <w:rsid w:val="00BB06D0"/>
    <w:rsid w:val="00BB0870"/>
    <w:rsid w:val="00BB0871"/>
    <w:rsid w:val="00BB13CC"/>
    <w:rsid w:val="00BB1B91"/>
    <w:rsid w:val="00BB2B7A"/>
    <w:rsid w:val="00BB2C03"/>
    <w:rsid w:val="00BB398B"/>
    <w:rsid w:val="00BB3D95"/>
    <w:rsid w:val="00BB3F67"/>
    <w:rsid w:val="00BB48C2"/>
    <w:rsid w:val="00BB4BF1"/>
    <w:rsid w:val="00BB4E98"/>
    <w:rsid w:val="00BB59B4"/>
    <w:rsid w:val="00BB5EE0"/>
    <w:rsid w:val="00BB66B6"/>
    <w:rsid w:val="00BB7D99"/>
    <w:rsid w:val="00BC01DB"/>
    <w:rsid w:val="00BC0285"/>
    <w:rsid w:val="00BC02E0"/>
    <w:rsid w:val="00BC0881"/>
    <w:rsid w:val="00BC0ADD"/>
    <w:rsid w:val="00BC0D8F"/>
    <w:rsid w:val="00BC1850"/>
    <w:rsid w:val="00BC1C7F"/>
    <w:rsid w:val="00BC226C"/>
    <w:rsid w:val="00BC2812"/>
    <w:rsid w:val="00BC29DB"/>
    <w:rsid w:val="00BC2A1B"/>
    <w:rsid w:val="00BC3A18"/>
    <w:rsid w:val="00BC3F0D"/>
    <w:rsid w:val="00BC3FCA"/>
    <w:rsid w:val="00BC414B"/>
    <w:rsid w:val="00BC45DC"/>
    <w:rsid w:val="00BC47D7"/>
    <w:rsid w:val="00BC4C9E"/>
    <w:rsid w:val="00BC4F65"/>
    <w:rsid w:val="00BC5F63"/>
    <w:rsid w:val="00BC5F8F"/>
    <w:rsid w:val="00BC60BC"/>
    <w:rsid w:val="00BC616C"/>
    <w:rsid w:val="00BC6774"/>
    <w:rsid w:val="00BC691C"/>
    <w:rsid w:val="00BC75DE"/>
    <w:rsid w:val="00BC78A6"/>
    <w:rsid w:val="00BD00DB"/>
    <w:rsid w:val="00BD1158"/>
    <w:rsid w:val="00BD1200"/>
    <w:rsid w:val="00BD1677"/>
    <w:rsid w:val="00BD1FAB"/>
    <w:rsid w:val="00BD2569"/>
    <w:rsid w:val="00BD2919"/>
    <w:rsid w:val="00BD2B6C"/>
    <w:rsid w:val="00BD307B"/>
    <w:rsid w:val="00BD35A9"/>
    <w:rsid w:val="00BD3CE3"/>
    <w:rsid w:val="00BD4AEA"/>
    <w:rsid w:val="00BD4D40"/>
    <w:rsid w:val="00BD52BA"/>
    <w:rsid w:val="00BD531B"/>
    <w:rsid w:val="00BD55D3"/>
    <w:rsid w:val="00BD6198"/>
    <w:rsid w:val="00BD6864"/>
    <w:rsid w:val="00BD6D31"/>
    <w:rsid w:val="00BD7370"/>
    <w:rsid w:val="00BD773E"/>
    <w:rsid w:val="00BE014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0F5"/>
    <w:rsid w:val="00BE6930"/>
    <w:rsid w:val="00BE760D"/>
    <w:rsid w:val="00BF08D7"/>
    <w:rsid w:val="00BF1E3B"/>
    <w:rsid w:val="00BF234D"/>
    <w:rsid w:val="00BF279E"/>
    <w:rsid w:val="00BF3022"/>
    <w:rsid w:val="00BF4387"/>
    <w:rsid w:val="00BF4AC7"/>
    <w:rsid w:val="00BF4BAD"/>
    <w:rsid w:val="00BF5047"/>
    <w:rsid w:val="00BF50A0"/>
    <w:rsid w:val="00BF5333"/>
    <w:rsid w:val="00BF570D"/>
    <w:rsid w:val="00BF5A41"/>
    <w:rsid w:val="00BF6937"/>
    <w:rsid w:val="00BF6B10"/>
    <w:rsid w:val="00BF7D8F"/>
    <w:rsid w:val="00C000B5"/>
    <w:rsid w:val="00C000F8"/>
    <w:rsid w:val="00C006AA"/>
    <w:rsid w:val="00C00967"/>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61"/>
    <w:rsid w:val="00C100F9"/>
    <w:rsid w:val="00C10203"/>
    <w:rsid w:val="00C1077A"/>
    <w:rsid w:val="00C10A20"/>
    <w:rsid w:val="00C10A37"/>
    <w:rsid w:val="00C10D9D"/>
    <w:rsid w:val="00C11776"/>
    <w:rsid w:val="00C11A95"/>
    <w:rsid w:val="00C11BA3"/>
    <w:rsid w:val="00C12244"/>
    <w:rsid w:val="00C12AF2"/>
    <w:rsid w:val="00C12B3E"/>
    <w:rsid w:val="00C13C5C"/>
    <w:rsid w:val="00C14365"/>
    <w:rsid w:val="00C15002"/>
    <w:rsid w:val="00C15369"/>
    <w:rsid w:val="00C159B3"/>
    <w:rsid w:val="00C170EC"/>
    <w:rsid w:val="00C17344"/>
    <w:rsid w:val="00C179D5"/>
    <w:rsid w:val="00C17A3F"/>
    <w:rsid w:val="00C17D44"/>
    <w:rsid w:val="00C20031"/>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B1D"/>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0E8E"/>
    <w:rsid w:val="00C41CDC"/>
    <w:rsid w:val="00C41FDC"/>
    <w:rsid w:val="00C4253C"/>
    <w:rsid w:val="00C42592"/>
    <w:rsid w:val="00C4279B"/>
    <w:rsid w:val="00C42D57"/>
    <w:rsid w:val="00C42E43"/>
    <w:rsid w:val="00C4362A"/>
    <w:rsid w:val="00C43C25"/>
    <w:rsid w:val="00C44074"/>
    <w:rsid w:val="00C4489C"/>
    <w:rsid w:val="00C448F9"/>
    <w:rsid w:val="00C4536B"/>
    <w:rsid w:val="00C45F46"/>
    <w:rsid w:val="00C462B0"/>
    <w:rsid w:val="00C4655D"/>
    <w:rsid w:val="00C465CC"/>
    <w:rsid w:val="00C46B5D"/>
    <w:rsid w:val="00C46D18"/>
    <w:rsid w:val="00C46DD4"/>
    <w:rsid w:val="00C46DEB"/>
    <w:rsid w:val="00C472AC"/>
    <w:rsid w:val="00C472BA"/>
    <w:rsid w:val="00C47AD0"/>
    <w:rsid w:val="00C515CD"/>
    <w:rsid w:val="00C5184D"/>
    <w:rsid w:val="00C52967"/>
    <w:rsid w:val="00C53246"/>
    <w:rsid w:val="00C5330A"/>
    <w:rsid w:val="00C538C8"/>
    <w:rsid w:val="00C53C39"/>
    <w:rsid w:val="00C540AC"/>
    <w:rsid w:val="00C543AB"/>
    <w:rsid w:val="00C54498"/>
    <w:rsid w:val="00C5579E"/>
    <w:rsid w:val="00C566B8"/>
    <w:rsid w:val="00C56B81"/>
    <w:rsid w:val="00C571BC"/>
    <w:rsid w:val="00C5772F"/>
    <w:rsid w:val="00C5798D"/>
    <w:rsid w:val="00C57B8C"/>
    <w:rsid w:val="00C57C2B"/>
    <w:rsid w:val="00C6029D"/>
    <w:rsid w:val="00C605F1"/>
    <w:rsid w:val="00C60DC1"/>
    <w:rsid w:val="00C610AD"/>
    <w:rsid w:val="00C619AA"/>
    <w:rsid w:val="00C61A25"/>
    <w:rsid w:val="00C61FD6"/>
    <w:rsid w:val="00C61FFA"/>
    <w:rsid w:val="00C6271E"/>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9B9"/>
    <w:rsid w:val="00C74C17"/>
    <w:rsid w:val="00C74F37"/>
    <w:rsid w:val="00C75609"/>
    <w:rsid w:val="00C75644"/>
    <w:rsid w:val="00C75816"/>
    <w:rsid w:val="00C75E74"/>
    <w:rsid w:val="00C761A8"/>
    <w:rsid w:val="00C76554"/>
    <w:rsid w:val="00C76573"/>
    <w:rsid w:val="00C76813"/>
    <w:rsid w:val="00C769DB"/>
    <w:rsid w:val="00C772C5"/>
    <w:rsid w:val="00C77EEE"/>
    <w:rsid w:val="00C80928"/>
    <w:rsid w:val="00C80A42"/>
    <w:rsid w:val="00C80E8A"/>
    <w:rsid w:val="00C81327"/>
    <w:rsid w:val="00C8133E"/>
    <w:rsid w:val="00C81A10"/>
    <w:rsid w:val="00C81E57"/>
    <w:rsid w:val="00C82B1C"/>
    <w:rsid w:val="00C82B35"/>
    <w:rsid w:val="00C82DE6"/>
    <w:rsid w:val="00C8340C"/>
    <w:rsid w:val="00C85B88"/>
    <w:rsid w:val="00C86BD7"/>
    <w:rsid w:val="00C90C9D"/>
    <w:rsid w:val="00C90FB6"/>
    <w:rsid w:val="00C913D8"/>
    <w:rsid w:val="00C9174D"/>
    <w:rsid w:val="00C91B40"/>
    <w:rsid w:val="00C91B90"/>
    <w:rsid w:val="00C91D76"/>
    <w:rsid w:val="00C91E03"/>
    <w:rsid w:val="00C920E7"/>
    <w:rsid w:val="00C925B6"/>
    <w:rsid w:val="00C925D7"/>
    <w:rsid w:val="00C927B4"/>
    <w:rsid w:val="00C9284E"/>
    <w:rsid w:val="00C93F01"/>
    <w:rsid w:val="00C94260"/>
    <w:rsid w:val="00C954C1"/>
    <w:rsid w:val="00C9691A"/>
    <w:rsid w:val="00C96D85"/>
    <w:rsid w:val="00C972FF"/>
    <w:rsid w:val="00C976A6"/>
    <w:rsid w:val="00C977B7"/>
    <w:rsid w:val="00C97A3F"/>
    <w:rsid w:val="00C97D28"/>
    <w:rsid w:val="00C97F38"/>
    <w:rsid w:val="00CA00E4"/>
    <w:rsid w:val="00CA0C96"/>
    <w:rsid w:val="00CA0F92"/>
    <w:rsid w:val="00CA12D4"/>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6CD"/>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25"/>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0D9C"/>
    <w:rsid w:val="00CE15E6"/>
    <w:rsid w:val="00CE1FD3"/>
    <w:rsid w:val="00CE23A7"/>
    <w:rsid w:val="00CE257B"/>
    <w:rsid w:val="00CE2912"/>
    <w:rsid w:val="00CE2A7D"/>
    <w:rsid w:val="00CE2B64"/>
    <w:rsid w:val="00CE35C9"/>
    <w:rsid w:val="00CE3A24"/>
    <w:rsid w:val="00CE3E26"/>
    <w:rsid w:val="00CE484C"/>
    <w:rsid w:val="00CE4D83"/>
    <w:rsid w:val="00CE5300"/>
    <w:rsid w:val="00CE6267"/>
    <w:rsid w:val="00CE729A"/>
    <w:rsid w:val="00CE759F"/>
    <w:rsid w:val="00CE7978"/>
    <w:rsid w:val="00CE7D54"/>
    <w:rsid w:val="00CE7E49"/>
    <w:rsid w:val="00CF0306"/>
    <w:rsid w:val="00CF04FA"/>
    <w:rsid w:val="00CF0EAB"/>
    <w:rsid w:val="00CF1A9A"/>
    <w:rsid w:val="00CF1B02"/>
    <w:rsid w:val="00CF2070"/>
    <w:rsid w:val="00CF262F"/>
    <w:rsid w:val="00CF2BCE"/>
    <w:rsid w:val="00CF2DDC"/>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3890"/>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8DA"/>
    <w:rsid w:val="00D12CDA"/>
    <w:rsid w:val="00D13D63"/>
    <w:rsid w:val="00D14143"/>
    <w:rsid w:val="00D14A96"/>
    <w:rsid w:val="00D15535"/>
    <w:rsid w:val="00D157C2"/>
    <w:rsid w:val="00D157C4"/>
    <w:rsid w:val="00D15A75"/>
    <w:rsid w:val="00D15DE9"/>
    <w:rsid w:val="00D15EF4"/>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37873"/>
    <w:rsid w:val="00D40175"/>
    <w:rsid w:val="00D40CB5"/>
    <w:rsid w:val="00D40D5F"/>
    <w:rsid w:val="00D4151A"/>
    <w:rsid w:val="00D42357"/>
    <w:rsid w:val="00D42683"/>
    <w:rsid w:val="00D43052"/>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362"/>
    <w:rsid w:val="00D5098B"/>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54"/>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240"/>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0DD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44A"/>
    <w:rsid w:val="00DB669A"/>
    <w:rsid w:val="00DB67A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C7C59"/>
    <w:rsid w:val="00DD0B68"/>
    <w:rsid w:val="00DD0BD2"/>
    <w:rsid w:val="00DD14BF"/>
    <w:rsid w:val="00DD1666"/>
    <w:rsid w:val="00DD1950"/>
    <w:rsid w:val="00DD1A61"/>
    <w:rsid w:val="00DD1B83"/>
    <w:rsid w:val="00DD1F6F"/>
    <w:rsid w:val="00DD2ABD"/>
    <w:rsid w:val="00DD2FB4"/>
    <w:rsid w:val="00DD2FDD"/>
    <w:rsid w:val="00DD3147"/>
    <w:rsid w:val="00DD325E"/>
    <w:rsid w:val="00DD3590"/>
    <w:rsid w:val="00DD3702"/>
    <w:rsid w:val="00DD3B66"/>
    <w:rsid w:val="00DD4074"/>
    <w:rsid w:val="00DD4158"/>
    <w:rsid w:val="00DD420C"/>
    <w:rsid w:val="00DD4537"/>
    <w:rsid w:val="00DD50ED"/>
    <w:rsid w:val="00DD58AF"/>
    <w:rsid w:val="00DD624A"/>
    <w:rsid w:val="00DD6A33"/>
    <w:rsid w:val="00DD6F12"/>
    <w:rsid w:val="00DD78BC"/>
    <w:rsid w:val="00DD7AD1"/>
    <w:rsid w:val="00DE0118"/>
    <w:rsid w:val="00DE0646"/>
    <w:rsid w:val="00DE0887"/>
    <w:rsid w:val="00DE10DD"/>
    <w:rsid w:val="00DE25E7"/>
    <w:rsid w:val="00DE2886"/>
    <w:rsid w:val="00DE2C51"/>
    <w:rsid w:val="00DE2C55"/>
    <w:rsid w:val="00DE2DDE"/>
    <w:rsid w:val="00DE3316"/>
    <w:rsid w:val="00DE3484"/>
    <w:rsid w:val="00DE34C5"/>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0D3"/>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22B"/>
    <w:rsid w:val="00E07715"/>
    <w:rsid w:val="00E07742"/>
    <w:rsid w:val="00E07950"/>
    <w:rsid w:val="00E10680"/>
    <w:rsid w:val="00E1187D"/>
    <w:rsid w:val="00E11E22"/>
    <w:rsid w:val="00E12034"/>
    <w:rsid w:val="00E12722"/>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614"/>
    <w:rsid w:val="00E27D14"/>
    <w:rsid w:val="00E30F69"/>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16FE"/>
    <w:rsid w:val="00E421A7"/>
    <w:rsid w:val="00E42228"/>
    <w:rsid w:val="00E4283B"/>
    <w:rsid w:val="00E43471"/>
    <w:rsid w:val="00E43D11"/>
    <w:rsid w:val="00E4478D"/>
    <w:rsid w:val="00E44A95"/>
    <w:rsid w:val="00E45643"/>
    <w:rsid w:val="00E4564E"/>
    <w:rsid w:val="00E45808"/>
    <w:rsid w:val="00E45D69"/>
    <w:rsid w:val="00E45D85"/>
    <w:rsid w:val="00E4607D"/>
    <w:rsid w:val="00E46499"/>
    <w:rsid w:val="00E472F1"/>
    <w:rsid w:val="00E47AA6"/>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9DB"/>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41"/>
    <w:rsid w:val="00E630CA"/>
    <w:rsid w:val="00E6363A"/>
    <w:rsid w:val="00E63794"/>
    <w:rsid w:val="00E63A8B"/>
    <w:rsid w:val="00E64359"/>
    <w:rsid w:val="00E6435C"/>
    <w:rsid w:val="00E64ADB"/>
    <w:rsid w:val="00E652C7"/>
    <w:rsid w:val="00E65F23"/>
    <w:rsid w:val="00E66197"/>
    <w:rsid w:val="00E66527"/>
    <w:rsid w:val="00E665CE"/>
    <w:rsid w:val="00E66D85"/>
    <w:rsid w:val="00E66FDF"/>
    <w:rsid w:val="00E70642"/>
    <w:rsid w:val="00E706D9"/>
    <w:rsid w:val="00E71939"/>
    <w:rsid w:val="00E71F28"/>
    <w:rsid w:val="00E71F91"/>
    <w:rsid w:val="00E72322"/>
    <w:rsid w:val="00E72324"/>
    <w:rsid w:val="00E724D9"/>
    <w:rsid w:val="00E726F3"/>
    <w:rsid w:val="00E73320"/>
    <w:rsid w:val="00E735FF"/>
    <w:rsid w:val="00E736F0"/>
    <w:rsid w:val="00E73B60"/>
    <w:rsid w:val="00E73F14"/>
    <w:rsid w:val="00E73F1C"/>
    <w:rsid w:val="00E73F8C"/>
    <w:rsid w:val="00E744D6"/>
    <w:rsid w:val="00E74919"/>
    <w:rsid w:val="00E74F8A"/>
    <w:rsid w:val="00E7516C"/>
    <w:rsid w:val="00E75928"/>
    <w:rsid w:val="00E75B27"/>
    <w:rsid w:val="00E76AD9"/>
    <w:rsid w:val="00E76C49"/>
    <w:rsid w:val="00E771A2"/>
    <w:rsid w:val="00E772CD"/>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CAC"/>
    <w:rsid w:val="00E85E17"/>
    <w:rsid w:val="00E864A0"/>
    <w:rsid w:val="00E90278"/>
    <w:rsid w:val="00E9047C"/>
    <w:rsid w:val="00E908E8"/>
    <w:rsid w:val="00E910A0"/>
    <w:rsid w:val="00E9155A"/>
    <w:rsid w:val="00E91582"/>
    <w:rsid w:val="00E91BAF"/>
    <w:rsid w:val="00E91C96"/>
    <w:rsid w:val="00E91E88"/>
    <w:rsid w:val="00E92188"/>
    <w:rsid w:val="00E927DF"/>
    <w:rsid w:val="00E92A03"/>
    <w:rsid w:val="00E934A4"/>
    <w:rsid w:val="00E934C5"/>
    <w:rsid w:val="00E93856"/>
    <w:rsid w:val="00E9395C"/>
    <w:rsid w:val="00E93C75"/>
    <w:rsid w:val="00E9427E"/>
    <w:rsid w:val="00E942A4"/>
    <w:rsid w:val="00E942B2"/>
    <w:rsid w:val="00E95BF3"/>
    <w:rsid w:val="00E96C04"/>
    <w:rsid w:val="00E97118"/>
    <w:rsid w:val="00E971C7"/>
    <w:rsid w:val="00E97466"/>
    <w:rsid w:val="00E97EC2"/>
    <w:rsid w:val="00E97F55"/>
    <w:rsid w:val="00EA15EB"/>
    <w:rsid w:val="00EA190A"/>
    <w:rsid w:val="00EA1950"/>
    <w:rsid w:val="00EA19AE"/>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AF"/>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C6D"/>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ACF"/>
    <w:rsid w:val="00ED7DCA"/>
    <w:rsid w:val="00EE01E9"/>
    <w:rsid w:val="00EE0289"/>
    <w:rsid w:val="00EE0BE1"/>
    <w:rsid w:val="00EE1338"/>
    <w:rsid w:val="00EE20DE"/>
    <w:rsid w:val="00EE2482"/>
    <w:rsid w:val="00EE25BD"/>
    <w:rsid w:val="00EE2B0C"/>
    <w:rsid w:val="00EE2BE4"/>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84E"/>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776"/>
    <w:rsid w:val="00F14863"/>
    <w:rsid w:val="00F149E9"/>
    <w:rsid w:val="00F14CFB"/>
    <w:rsid w:val="00F15187"/>
    <w:rsid w:val="00F15897"/>
    <w:rsid w:val="00F15F91"/>
    <w:rsid w:val="00F167A8"/>
    <w:rsid w:val="00F167FD"/>
    <w:rsid w:val="00F16DAA"/>
    <w:rsid w:val="00F1728E"/>
    <w:rsid w:val="00F17C5C"/>
    <w:rsid w:val="00F205D6"/>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8AF"/>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02D"/>
    <w:rsid w:val="00F356B4"/>
    <w:rsid w:val="00F35BD9"/>
    <w:rsid w:val="00F35F0A"/>
    <w:rsid w:val="00F3611E"/>
    <w:rsid w:val="00F36575"/>
    <w:rsid w:val="00F372E5"/>
    <w:rsid w:val="00F37FEE"/>
    <w:rsid w:val="00F40111"/>
    <w:rsid w:val="00F4053A"/>
    <w:rsid w:val="00F408A1"/>
    <w:rsid w:val="00F41110"/>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ABE"/>
    <w:rsid w:val="00F57DD7"/>
    <w:rsid w:val="00F60636"/>
    <w:rsid w:val="00F60787"/>
    <w:rsid w:val="00F60AE0"/>
    <w:rsid w:val="00F61B43"/>
    <w:rsid w:val="00F61CA1"/>
    <w:rsid w:val="00F61DEF"/>
    <w:rsid w:val="00F626B0"/>
    <w:rsid w:val="00F63542"/>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2A1"/>
    <w:rsid w:val="00F80338"/>
    <w:rsid w:val="00F80B34"/>
    <w:rsid w:val="00F80E17"/>
    <w:rsid w:val="00F810D7"/>
    <w:rsid w:val="00F811E6"/>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319"/>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254"/>
    <w:rsid w:val="00FA7592"/>
    <w:rsid w:val="00FA75F9"/>
    <w:rsid w:val="00FB011B"/>
    <w:rsid w:val="00FB0312"/>
    <w:rsid w:val="00FB0BA3"/>
    <w:rsid w:val="00FB178F"/>
    <w:rsid w:val="00FB1E04"/>
    <w:rsid w:val="00FB201C"/>
    <w:rsid w:val="00FB22FE"/>
    <w:rsid w:val="00FB288D"/>
    <w:rsid w:val="00FB29C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0B0A"/>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BE8"/>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D6D"/>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71B"/>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E25"/>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D51D2"/>
    <w:pPr>
      <w:numPr>
        <w:ilvl w:val="2"/>
        <w:numId w:val="35"/>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7D51D2"/>
    <w:rPr>
      <w:rFonts w:ascii="Times New Roman" w:eastAsia="Times New Roman" w:hAnsi="Times New Roman"/>
      <w:b/>
      <w:sz w:val="22"/>
      <w:lang w:val="en-GB"/>
    </w:rPr>
  </w:style>
  <w:style w:type="paragraph" w:styleId="TOC1">
    <w:name w:val="toc 1"/>
    <w:basedOn w:val="Normal"/>
    <w:next w:val="Normal"/>
    <w:autoRedefine/>
    <w:uiPriority w:val="39"/>
    <w:unhideWhenUsed/>
    <w:qFormat/>
    <w:rsid w:val="001A36E3"/>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A36E3"/>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4A9D"/>
    <w:rPr>
      <w:rFonts w:eastAsiaTheme="minorHAnsi" w:cs="Calibri"/>
      <w:b/>
      <w:bCs/>
      <w:sz w:val="22"/>
      <w:szCs w:val="22"/>
      <w:lang w:eastAsia="sv-SE"/>
    </w:rPr>
  </w:style>
  <w:style w:type="paragraph" w:customStyle="1" w:styleId="PropObs">
    <w:name w:val="PropObs"/>
    <w:basedOn w:val="Normal"/>
    <w:link w:val="PropObsChar"/>
    <w:autoRedefine/>
    <w:qFormat/>
    <w:rsid w:val="00A54A9D"/>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E62C32"/>
    <w:pPr>
      <w:overflowPunct/>
      <w:autoSpaceDE/>
      <w:autoSpaceDN/>
      <w:adjustRightInd/>
      <w:spacing w:before="100" w:beforeAutospacing="1" w:after="100" w:afterAutospacing="1"/>
      <w:textAlignment w:val="auto"/>
    </w:pPr>
    <w:rPr>
      <w:sz w:val="24"/>
      <w:szCs w:val="24"/>
      <w:lang w:val="en-US"/>
    </w:rPr>
  </w:style>
  <w:style w:type="paragraph" w:customStyle="1" w:styleId="b20">
    <w:name w:val="b2"/>
    <w:basedOn w:val="Normal"/>
    <w:rsid w:val="0025703A"/>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B241BF"/>
    <w:pPr>
      <w:overflowPunct/>
      <w:autoSpaceDE/>
      <w:autoSpaceDN/>
      <w:adjustRightInd/>
      <w:spacing w:before="100" w:beforeAutospacing="1" w:after="100" w:afterAutospacing="1"/>
      <w:textAlignment w:val="auto"/>
    </w:pPr>
    <w:rPr>
      <w:sz w:val="24"/>
      <w:szCs w:val="24"/>
      <w:lang w:val="en-US"/>
    </w:rPr>
  </w:style>
  <w:style w:type="paragraph" w:customStyle="1" w:styleId="b40">
    <w:name w:val="b4"/>
    <w:basedOn w:val="Normal"/>
    <w:rsid w:val="00455BE4"/>
    <w:pPr>
      <w:overflowPunct/>
      <w:autoSpaceDE/>
      <w:autoSpaceDN/>
      <w:adjustRightInd/>
      <w:spacing w:before="100" w:beforeAutospacing="1" w:after="100" w:afterAutospacing="1"/>
      <w:textAlignment w:val="auto"/>
    </w:pPr>
    <w:rPr>
      <w:sz w:val="24"/>
      <w:szCs w:val="24"/>
      <w:lang w:val="en-US"/>
    </w:rPr>
  </w:style>
  <w:style w:type="paragraph" w:customStyle="1" w:styleId="b50">
    <w:name w:val="b5"/>
    <w:basedOn w:val="Normal"/>
    <w:rsid w:val="00455BE4"/>
    <w:pPr>
      <w:overflowPunct/>
      <w:autoSpaceDE/>
      <w:autoSpaceDN/>
      <w:adjustRightInd/>
      <w:spacing w:before="100" w:beforeAutospacing="1" w:after="100" w:afterAutospacing="1"/>
      <w:textAlignment w:val="auto"/>
    </w:pPr>
    <w:rPr>
      <w:sz w:val="24"/>
      <w:szCs w:val="24"/>
      <w:lang w:val="en-US"/>
    </w:rPr>
  </w:style>
  <w:style w:type="paragraph" w:styleId="TOC3">
    <w:name w:val="toc 3"/>
    <w:basedOn w:val="Normal"/>
    <w:next w:val="Normal"/>
    <w:autoRedefine/>
    <w:uiPriority w:val="39"/>
    <w:semiHidden/>
    <w:unhideWhenUsed/>
    <w:qFormat/>
    <w:rsid w:val="001A36E3"/>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684652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42168657">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20489821">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44951208">
      <w:bodyDiv w:val="1"/>
      <w:marLeft w:val="0"/>
      <w:marRight w:val="0"/>
      <w:marTop w:val="0"/>
      <w:marBottom w:val="0"/>
      <w:divBdr>
        <w:top w:val="none" w:sz="0" w:space="0" w:color="auto"/>
        <w:left w:val="none" w:sz="0" w:space="0" w:color="auto"/>
        <w:bottom w:val="none" w:sz="0" w:space="0" w:color="auto"/>
        <w:right w:val="none" w:sz="0" w:space="0" w:color="auto"/>
      </w:divBdr>
      <w:divsChild>
        <w:div w:id="529802887">
          <w:marLeft w:val="0"/>
          <w:marRight w:val="0"/>
          <w:marTop w:val="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68350978">
      <w:bodyDiv w:val="1"/>
      <w:marLeft w:val="0"/>
      <w:marRight w:val="0"/>
      <w:marTop w:val="0"/>
      <w:marBottom w:val="0"/>
      <w:divBdr>
        <w:top w:val="none" w:sz="0" w:space="0" w:color="auto"/>
        <w:left w:val="none" w:sz="0" w:space="0" w:color="auto"/>
        <w:bottom w:val="none" w:sz="0" w:space="0" w:color="auto"/>
        <w:right w:val="none" w:sz="0" w:space="0" w:color="auto"/>
      </w:divBdr>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53146290">
      <w:bodyDiv w:val="1"/>
      <w:marLeft w:val="0"/>
      <w:marRight w:val="0"/>
      <w:marTop w:val="0"/>
      <w:marBottom w:val="0"/>
      <w:divBdr>
        <w:top w:val="none" w:sz="0" w:space="0" w:color="auto"/>
        <w:left w:val="none" w:sz="0" w:space="0" w:color="auto"/>
        <w:bottom w:val="none" w:sz="0" w:space="0" w:color="auto"/>
        <w:right w:val="none" w:sz="0" w:space="0" w:color="auto"/>
      </w:divBdr>
    </w:div>
    <w:div w:id="653264992">
      <w:bodyDiv w:val="1"/>
      <w:marLeft w:val="0"/>
      <w:marRight w:val="0"/>
      <w:marTop w:val="0"/>
      <w:marBottom w:val="0"/>
      <w:divBdr>
        <w:top w:val="none" w:sz="0" w:space="0" w:color="auto"/>
        <w:left w:val="none" w:sz="0" w:space="0" w:color="auto"/>
        <w:bottom w:val="none" w:sz="0" w:space="0" w:color="auto"/>
        <w:right w:val="none" w:sz="0" w:space="0" w:color="auto"/>
      </w:divBdr>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781725177">
      <w:bodyDiv w:val="1"/>
      <w:marLeft w:val="0"/>
      <w:marRight w:val="0"/>
      <w:marTop w:val="0"/>
      <w:marBottom w:val="0"/>
      <w:divBdr>
        <w:top w:val="none" w:sz="0" w:space="0" w:color="auto"/>
        <w:left w:val="none" w:sz="0" w:space="0" w:color="auto"/>
        <w:bottom w:val="none" w:sz="0" w:space="0" w:color="auto"/>
        <w:right w:val="none" w:sz="0" w:space="0" w:color="auto"/>
      </w:divBdr>
    </w:div>
    <w:div w:id="79425779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48394399">
      <w:bodyDiv w:val="1"/>
      <w:marLeft w:val="0"/>
      <w:marRight w:val="0"/>
      <w:marTop w:val="0"/>
      <w:marBottom w:val="0"/>
      <w:divBdr>
        <w:top w:val="none" w:sz="0" w:space="0" w:color="auto"/>
        <w:left w:val="none" w:sz="0" w:space="0" w:color="auto"/>
        <w:bottom w:val="none" w:sz="0" w:space="0" w:color="auto"/>
        <w:right w:val="none" w:sz="0" w:space="0" w:color="auto"/>
      </w:divBdr>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91834801">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6819100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44783174">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5817006">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44866952">
      <w:bodyDiv w:val="1"/>
      <w:marLeft w:val="0"/>
      <w:marRight w:val="0"/>
      <w:marTop w:val="0"/>
      <w:marBottom w:val="0"/>
      <w:divBdr>
        <w:top w:val="none" w:sz="0" w:space="0" w:color="auto"/>
        <w:left w:val="none" w:sz="0" w:space="0" w:color="auto"/>
        <w:bottom w:val="none" w:sz="0" w:space="0" w:color="auto"/>
        <w:right w:val="none" w:sz="0" w:space="0" w:color="auto"/>
      </w:divBdr>
    </w:div>
    <w:div w:id="1345866410">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58182594">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722871">
      <w:bodyDiv w:val="1"/>
      <w:marLeft w:val="0"/>
      <w:marRight w:val="0"/>
      <w:marTop w:val="0"/>
      <w:marBottom w:val="0"/>
      <w:divBdr>
        <w:top w:val="none" w:sz="0" w:space="0" w:color="auto"/>
        <w:left w:val="none" w:sz="0" w:space="0" w:color="auto"/>
        <w:bottom w:val="none" w:sz="0" w:space="0" w:color="auto"/>
        <w:right w:val="none" w:sz="0" w:space="0" w:color="auto"/>
      </w:divBdr>
    </w:div>
    <w:div w:id="1524052453">
      <w:bodyDiv w:val="1"/>
      <w:marLeft w:val="0"/>
      <w:marRight w:val="0"/>
      <w:marTop w:val="0"/>
      <w:marBottom w:val="0"/>
      <w:divBdr>
        <w:top w:val="none" w:sz="0" w:space="0" w:color="auto"/>
        <w:left w:val="none" w:sz="0" w:space="0" w:color="auto"/>
        <w:bottom w:val="none" w:sz="0" w:space="0" w:color="auto"/>
        <w:right w:val="none" w:sz="0" w:space="0" w:color="auto"/>
      </w:divBdr>
      <w:divsChild>
        <w:div w:id="1151823564">
          <w:marLeft w:val="547"/>
          <w:marRight w:val="0"/>
          <w:marTop w:val="216"/>
          <w:marBottom w:val="0"/>
          <w:divBdr>
            <w:top w:val="none" w:sz="0" w:space="0" w:color="auto"/>
            <w:left w:val="none" w:sz="0" w:space="0" w:color="auto"/>
            <w:bottom w:val="none" w:sz="0" w:space="0" w:color="auto"/>
            <w:right w:val="none" w:sz="0" w:space="0" w:color="auto"/>
          </w:divBdr>
        </w:div>
        <w:div w:id="2018340883">
          <w:marLeft w:val="547"/>
          <w:marRight w:val="0"/>
          <w:marTop w:val="216"/>
          <w:marBottom w:val="0"/>
          <w:divBdr>
            <w:top w:val="none" w:sz="0" w:space="0" w:color="auto"/>
            <w:left w:val="none" w:sz="0" w:space="0" w:color="auto"/>
            <w:bottom w:val="none" w:sz="0" w:space="0" w:color="auto"/>
            <w:right w:val="none" w:sz="0" w:space="0" w:color="auto"/>
          </w:divBdr>
        </w:div>
        <w:div w:id="1024674706">
          <w:marLeft w:val="1166"/>
          <w:marRight w:val="0"/>
          <w:marTop w:val="86"/>
          <w:marBottom w:val="0"/>
          <w:divBdr>
            <w:top w:val="none" w:sz="0" w:space="0" w:color="auto"/>
            <w:left w:val="none" w:sz="0" w:space="0" w:color="auto"/>
            <w:bottom w:val="none" w:sz="0" w:space="0" w:color="auto"/>
            <w:right w:val="none" w:sz="0" w:space="0" w:color="auto"/>
          </w:divBdr>
        </w:div>
        <w:div w:id="68501178">
          <w:marLeft w:val="1166"/>
          <w:marRight w:val="0"/>
          <w:marTop w:val="86"/>
          <w:marBottom w:val="0"/>
          <w:divBdr>
            <w:top w:val="none" w:sz="0" w:space="0" w:color="auto"/>
            <w:left w:val="none" w:sz="0" w:space="0" w:color="auto"/>
            <w:bottom w:val="none" w:sz="0" w:space="0" w:color="auto"/>
            <w:right w:val="none" w:sz="0" w:space="0" w:color="auto"/>
          </w:divBdr>
        </w:div>
        <w:div w:id="1241796476">
          <w:marLeft w:val="1166"/>
          <w:marRight w:val="0"/>
          <w:marTop w:val="86"/>
          <w:marBottom w:val="0"/>
          <w:divBdr>
            <w:top w:val="none" w:sz="0" w:space="0" w:color="auto"/>
            <w:left w:val="none" w:sz="0" w:space="0" w:color="auto"/>
            <w:bottom w:val="none" w:sz="0" w:space="0" w:color="auto"/>
            <w:right w:val="none" w:sz="0" w:space="0" w:color="auto"/>
          </w:divBdr>
        </w:div>
        <w:div w:id="1984309720">
          <w:marLeft w:val="1166"/>
          <w:marRight w:val="0"/>
          <w:marTop w:val="86"/>
          <w:marBottom w:val="0"/>
          <w:divBdr>
            <w:top w:val="none" w:sz="0" w:space="0" w:color="auto"/>
            <w:left w:val="none" w:sz="0" w:space="0" w:color="auto"/>
            <w:bottom w:val="none" w:sz="0" w:space="0" w:color="auto"/>
            <w:right w:val="none" w:sz="0" w:space="0" w:color="auto"/>
          </w:divBdr>
        </w:div>
      </w:divsChild>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71161563">
      <w:bodyDiv w:val="1"/>
      <w:marLeft w:val="0"/>
      <w:marRight w:val="0"/>
      <w:marTop w:val="0"/>
      <w:marBottom w:val="0"/>
      <w:divBdr>
        <w:top w:val="none" w:sz="0" w:space="0" w:color="auto"/>
        <w:left w:val="none" w:sz="0" w:space="0" w:color="auto"/>
        <w:bottom w:val="none" w:sz="0" w:space="0" w:color="auto"/>
        <w:right w:val="none" w:sz="0" w:space="0" w:color="auto"/>
      </w:divBdr>
    </w:div>
    <w:div w:id="1581140593">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068">
      <w:bodyDiv w:val="1"/>
      <w:marLeft w:val="0"/>
      <w:marRight w:val="0"/>
      <w:marTop w:val="0"/>
      <w:marBottom w:val="0"/>
      <w:divBdr>
        <w:top w:val="none" w:sz="0" w:space="0" w:color="auto"/>
        <w:left w:val="none" w:sz="0" w:space="0" w:color="auto"/>
        <w:bottom w:val="none" w:sz="0" w:space="0" w:color="auto"/>
        <w:right w:val="none" w:sz="0" w:space="0" w:color="auto"/>
      </w:divBdr>
      <w:divsChild>
        <w:div w:id="1654329868">
          <w:marLeft w:val="0"/>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4522558">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03814342">
      <w:bodyDiv w:val="1"/>
      <w:marLeft w:val="0"/>
      <w:marRight w:val="0"/>
      <w:marTop w:val="0"/>
      <w:marBottom w:val="0"/>
      <w:divBdr>
        <w:top w:val="none" w:sz="0" w:space="0" w:color="auto"/>
        <w:left w:val="none" w:sz="0" w:space="0" w:color="auto"/>
        <w:bottom w:val="none" w:sz="0" w:space="0" w:color="auto"/>
        <w:right w:val="none" w:sz="0" w:space="0" w:color="auto"/>
      </w:divBdr>
    </w:div>
    <w:div w:id="1815025798">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4293382">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67392249">
      <w:bodyDiv w:val="1"/>
      <w:marLeft w:val="0"/>
      <w:marRight w:val="0"/>
      <w:marTop w:val="0"/>
      <w:marBottom w:val="0"/>
      <w:divBdr>
        <w:top w:val="none" w:sz="0" w:space="0" w:color="auto"/>
        <w:left w:val="none" w:sz="0" w:space="0" w:color="auto"/>
        <w:bottom w:val="none" w:sz="0" w:space="0" w:color="auto"/>
        <w:right w:val="none" w:sz="0" w:space="0" w:color="auto"/>
      </w:divBdr>
    </w:div>
    <w:div w:id="1970746949">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164216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343212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507</TotalTime>
  <Pages>6</Pages>
  <Words>2071</Words>
  <Characters>11806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244</cp:revision>
  <cp:lastPrinted>2017-09-12T20:53:00Z</cp:lastPrinted>
  <dcterms:created xsi:type="dcterms:W3CDTF">2024-10-02T19:32:00Z</dcterms:created>
  <dcterms:modified xsi:type="dcterms:W3CDTF">2025-03-28T02:43:00Z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